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48" w:rsidRDefault="00D02448" w:rsidP="00D02448">
      <w:pPr>
        <w:tabs>
          <w:tab w:val="left" w:pos="780"/>
          <w:tab w:val="center" w:pos="4678"/>
          <w:tab w:val="left" w:pos="8931"/>
        </w:tabs>
        <w:spacing w:after="0" w:line="240" w:lineRule="auto"/>
        <w:ind w:right="119"/>
        <w:rPr>
          <w:rFonts w:ascii="Tahoma" w:eastAsia="Times New Roman" w:hAnsi="Tahoma" w:cs="Tahoma"/>
          <w:b/>
          <w:bCs/>
          <w:sz w:val="28"/>
        </w:rPr>
      </w:pPr>
      <w:r w:rsidRPr="00B854B8">
        <w:rPr>
          <w:rFonts w:ascii="Tahoma" w:hAnsi="Tahoma" w:cs="Tahoma"/>
          <w:noProof/>
          <w:sz w:val="28"/>
          <w:szCs w:val="28"/>
          <w:lang w:eastAsia="en-GB"/>
        </w:rPr>
        <w:drawing>
          <wp:inline distT="0" distB="0" distL="0" distR="0" wp14:anchorId="3996E95E" wp14:editId="6D839270">
            <wp:extent cx="1945640" cy="638175"/>
            <wp:effectExtent l="0" t="0" r="0" b="9525"/>
            <wp:docPr id="3" name="Picture 3" descr="\\mercury\staff\DAVI461\Desktop\New Newman University Crest.GIF" title="Newm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ury\staff\DAVI461\Desktop\New Newman University Cres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40" cy="638175"/>
                    </a:xfrm>
                    <a:prstGeom prst="rect">
                      <a:avLst/>
                    </a:prstGeom>
                    <a:noFill/>
                    <a:ln>
                      <a:noFill/>
                    </a:ln>
                  </pic:spPr>
                </pic:pic>
              </a:graphicData>
            </a:graphic>
          </wp:inline>
        </w:drawing>
      </w:r>
    </w:p>
    <w:p w:rsidR="00507BB5" w:rsidRDefault="00E72A47" w:rsidP="00507BB5">
      <w:pPr>
        <w:tabs>
          <w:tab w:val="left" w:pos="8931"/>
        </w:tabs>
        <w:spacing w:after="0" w:line="240" w:lineRule="auto"/>
        <w:ind w:right="-22"/>
        <w:jc w:val="center"/>
        <w:outlineLvl w:val="0"/>
        <w:rPr>
          <w:rFonts w:ascii="Tahoma" w:eastAsia="Times New Roman" w:hAnsi="Tahoma" w:cs="Tahoma"/>
          <w:b/>
          <w:bCs/>
          <w:color w:val="000000"/>
          <w:kern w:val="36"/>
          <w:sz w:val="28"/>
        </w:rPr>
      </w:pPr>
      <w:r>
        <w:rPr>
          <w:rFonts w:ascii="Tahoma" w:eastAsia="Times New Roman" w:hAnsi="Tahoma" w:cs="Tahoma"/>
          <w:b/>
          <w:bCs/>
          <w:color w:val="000000"/>
          <w:kern w:val="36"/>
          <w:sz w:val="28"/>
        </w:rPr>
        <w:t>EQUALITY AND DIVERSITY</w:t>
      </w:r>
      <w:r w:rsidRPr="00A87560">
        <w:rPr>
          <w:rFonts w:ascii="Tahoma" w:eastAsia="Times New Roman" w:hAnsi="Tahoma" w:cs="Tahoma"/>
          <w:b/>
          <w:bCs/>
          <w:color w:val="000000"/>
          <w:kern w:val="36"/>
          <w:sz w:val="28"/>
        </w:rPr>
        <w:t xml:space="preserve"> COMMITTEE</w:t>
      </w:r>
    </w:p>
    <w:p w:rsidR="00E72A47" w:rsidRDefault="00E72A47" w:rsidP="00507BB5">
      <w:pPr>
        <w:tabs>
          <w:tab w:val="left" w:pos="8931"/>
        </w:tabs>
        <w:spacing w:after="0" w:line="240" w:lineRule="auto"/>
        <w:ind w:right="-22"/>
        <w:jc w:val="center"/>
        <w:outlineLvl w:val="0"/>
        <w:rPr>
          <w:rFonts w:ascii="Tahoma" w:eastAsia="Times New Roman" w:hAnsi="Tahoma" w:cs="Tahoma"/>
          <w:sz w:val="20"/>
          <w:szCs w:val="20"/>
        </w:rPr>
      </w:pPr>
      <w:r>
        <w:rPr>
          <w:noProof/>
          <w:lang w:eastAsia="en-GB"/>
        </w:rPr>
        <mc:AlternateContent>
          <mc:Choice Requires="wps">
            <w:drawing>
              <wp:inline distT="0" distB="0" distL="0" distR="0">
                <wp:extent cx="5763895" cy="1403985"/>
                <wp:effectExtent l="19050" t="19050" r="27305" b="120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403985"/>
                        </a:xfrm>
                        <a:prstGeom prst="rect">
                          <a:avLst/>
                        </a:prstGeom>
                        <a:solidFill>
                          <a:srgbClr val="FFC000"/>
                        </a:solidFill>
                        <a:ln w="28575" cap="flat" cmpd="sng" algn="ctr">
                          <a:solidFill>
                            <a:sysClr val="windowText" lastClr="000000"/>
                          </a:solidFill>
                          <a:prstDash val="solid"/>
                          <a:headEnd/>
                          <a:tailEnd/>
                        </a:ln>
                        <a:effectLst/>
                      </wps:spPr>
                      <wps:txbx>
                        <w:txbxContent>
                          <w:p w:rsidR="00E72A47" w:rsidRPr="00FE5788" w:rsidRDefault="00E72A47" w:rsidP="00E72A47">
                            <w:pPr>
                              <w:rPr>
                                <w:rFonts w:ascii="Tahoma" w:hAnsi="Tahoma" w:cs="Tahoma"/>
                                <w:b/>
                                <w:noProof/>
                                <w:sz w:val="20"/>
                                <w:szCs w:val="20"/>
                              </w:rPr>
                            </w:pPr>
                            <w:r w:rsidRPr="00FE5788">
                              <w:rPr>
                                <w:rFonts w:ascii="Tahoma" w:hAnsi="Tahoma" w:cs="Tahoma"/>
                                <w:b/>
                                <w:sz w:val="20"/>
                                <w:szCs w:val="20"/>
                              </w:rPr>
                              <w:t xml:space="preserve">The University’s Committee Structure aims to put the University in a position of strength to deliver the evidence base that will enable us to engage with the </w:t>
                            </w:r>
                            <w:proofErr w:type="spellStart"/>
                            <w:r w:rsidRPr="00FE5788">
                              <w:rPr>
                                <w:rFonts w:ascii="Tahoma" w:hAnsi="Tahoma" w:cs="Tahoma"/>
                                <w:b/>
                                <w:sz w:val="20"/>
                                <w:szCs w:val="20"/>
                              </w:rPr>
                              <w:t>OfS</w:t>
                            </w:r>
                            <w:proofErr w:type="spellEnd"/>
                            <w:r w:rsidRPr="00FE5788">
                              <w:rPr>
                                <w:rFonts w:ascii="Tahoma" w:hAnsi="Tahoma" w:cs="Tahoma"/>
                                <w:b/>
                                <w:sz w:val="20"/>
                                <w:szCs w:val="20"/>
                              </w:rPr>
                              <w:t xml:space="preserve"> and</w:t>
                            </w:r>
                            <w:r w:rsidR="00D02448">
                              <w:rPr>
                                <w:rFonts w:ascii="Tahoma" w:hAnsi="Tahoma" w:cs="Tahoma"/>
                                <w:b/>
                                <w:sz w:val="20"/>
                                <w:szCs w:val="20"/>
                              </w:rPr>
                              <w:t xml:space="preserve"> its </w:t>
                            </w:r>
                            <w:hyperlink r:id="rId9" w:history="1">
                              <w:r w:rsidR="00D02448" w:rsidRPr="00D02448">
                                <w:rPr>
                                  <w:rStyle w:val="Hyperlink"/>
                                  <w:rFonts w:ascii="Tahoma" w:hAnsi="Tahoma" w:cs="Tahoma"/>
                                  <w:b/>
                                  <w:sz w:val="20"/>
                                  <w:szCs w:val="20"/>
                                </w:rPr>
                                <w:t>conditions of registration</w:t>
                              </w:r>
                            </w:hyperlink>
                            <w:r w:rsidR="00D02448">
                              <w:rPr>
                                <w:rFonts w:ascii="Tahoma" w:hAnsi="Tahoma" w:cs="Tahoma"/>
                                <w:b/>
                                <w:sz w:val="20"/>
                                <w:szCs w:val="20"/>
                              </w:rPr>
                              <w:t>.</w:t>
                            </w:r>
                          </w:p>
                          <w:p w:rsidR="00E72A47" w:rsidRDefault="00E72A47" w:rsidP="00E72A47">
                            <w:r w:rsidRPr="00FE5788">
                              <w:rPr>
                                <w:rFonts w:ascii="Tahoma" w:hAnsi="Tahoma" w:cs="Tahoma"/>
                                <w:b/>
                                <w:sz w:val="20"/>
                                <w:szCs w:val="20"/>
                              </w:rPr>
                              <w:t>Individual Committees are expected to utilise a range of indicators, quantitative and qualitative intelligence and horizon scanning that will enable them to monitor and review trends and spot (early on) any issues that may affect compliance.  In doing so, they are empowered to drive and effect changes accordingly.</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" fillcolor="#ffc000" strokecolor="windowText" strokeweight="2.25pt">
                <v:textbox style="mso-fit-shape-to-text:t">
                  <w:txbxContent>
                    <w:p w:rsidR="00E72A47" w:rsidRPr="00FE5788" w:rsidRDefault="00E72A47" w:rsidP="00E72A47">
                      <w:pPr>
                        <w:rPr>
                          <w:rFonts w:ascii="Tahoma" w:hAnsi="Tahoma" w:cs="Tahoma"/>
                          <w:b/>
                          <w:noProof/>
                          <w:sz w:val="20"/>
                          <w:szCs w:val="20"/>
                        </w:rPr>
                      </w:pPr>
                      <w:r w:rsidRPr="00FE5788">
                        <w:rPr>
                          <w:rFonts w:ascii="Tahoma" w:hAnsi="Tahoma" w:cs="Tahoma"/>
                          <w:b/>
                          <w:sz w:val="20"/>
                          <w:szCs w:val="20"/>
                        </w:rPr>
                        <w:t xml:space="preserve">The University’s Committee Structure aims to put the University in a position of strength to deliver the evidence base that will enable us to engage with the </w:t>
                      </w:r>
                      <w:proofErr w:type="spellStart"/>
                      <w:r w:rsidRPr="00FE5788">
                        <w:rPr>
                          <w:rFonts w:ascii="Tahoma" w:hAnsi="Tahoma" w:cs="Tahoma"/>
                          <w:b/>
                          <w:sz w:val="20"/>
                          <w:szCs w:val="20"/>
                        </w:rPr>
                        <w:t>OfS</w:t>
                      </w:r>
                      <w:proofErr w:type="spellEnd"/>
                      <w:r w:rsidRPr="00FE5788">
                        <w:rPr>
                          <w:rFonts w:ascii="Tahoma" w:hAnsi="Tahoma" w:cs="Tahoma"/>
                          <w:b/>
                          <w:sz w:val="20"/>
                          <w:szCs w:val="20"/>
                        </w:rPr>
                        <w:t xml:space="preserve"> and</w:t>
                      </w:r>
                      <w:r w:rsidR="00D02448">
                        <w:rPr>
                          <w:rFonts w:ascii="Tahoma" w:hAnsi="Tahoma" w:cs="Tahoma"/>
                          <w:b/>
                          <w:sz w:val="20"/>
                          <w:szCs w:val="20"/>
                        </w:rPr>
                        <w:t xml:space="preserve"> its </w:t>
                      </w:r>
                      <w:hyperlink r:id="rId10" w:history="1">
                        <w:r w:rsidR="00D02448" w:rsidRPr="00D02448">
                          <w:rPr>
                            <w:rStyle w:val="Hyperlink"/>
                            <w:rFonts w:ascii="Tahoma" w:hAnsi="Tahoma" w:cs="Tahoma"/>
                            <w:b/>
                            <w:sz w:val="20"/>
                            <w:szCs w:val="20"/>
                          </w:rPr>
                          <w:t>conditions of registration</w:t>
                        </w:r>
                      </w:hyperlink>
                      <w:r w:rsidR="00D02448">
                        <w:rPr>
                          <w:rFonts w:ascii="Tahoma" w:hAnsi="Tahoma" w:cs="Tahoma"/>
                          <w:b/>
                          <w:sz w:val="20"/>
                          <w:szCs w:val="20"/>
                        </w:rPr>
                        <w:t>.</w:t>
                      </w:r>
                    </w:p>
                    <w:p w:rsidR="00E72A47" w:rsidRDefault="00E72A47" w:rsidP="00E72A47">
                      <w:r w:rsidRPr="00FE5788">
                        <w:rPr>
                          <w:rFonts w:ascii="Tahoma" w:hAnsi="Tahoma" w:cs="Tahoma"/>
                          <w:b/>
                          <w:sz w:val="20"/>
                          <w:szCs w:val="20"/>
                        </w:rPr>
                        <w:t>Individual Committees are expected to utilise a range of indicators, quantitative and qualitative intelligence and horizon scanning that will enable them to monitor and review trends and spot (early on) any issues that may affect compliance.  In doing so, they are empowered to drive and effect changes accordingly.</w:t>
                      </w:r>
                    </w:p>
                  </w:txbxContent>
                </v:textbox>
                <w10:anchorlock/>
              </v:shape>
            </w:pict>
          </mc:Fallback>
        </mc:AlternateContent>
      </w:r>
    </w:p>
    <w:p w:rsidR="00E72A47" w:rsidRPr="00AD7454" w:rsidRDefault="00D02448" w:rsidP="00507BB5">
      <w:pPr>
        <w:spacing w:before="240" w:after="240" w:line="240" w:lineRule="auto"/>
        <w:rPr>
          <w:rFonts w:ascii="Tahoma" w:hAnsi="Tahoma" w:cs="Tahoma"/>
          <w:b/>
          <w:sz w:val="20"/>
          <w:szCs w:val="20"/>
          <w:u w:val="single"/>
        </w:rPr>
      </w:pPr>
      <w:r>
        <w:rPr>
          <w:rFonts w:ascii="Tahoma" w:hAnsi="Tahoma" w:cs="Tahoma"/>
          <w:b/>
          <w:sz w:val="20"/>
          <w:szCs w:val="20"/>
          <w:u w:val="single"/>
        </w:rPr>
        <w:t>P</w:t>
      </w:r>
      <w:r w:rsidR="00E72A47" w:rsidRPr="00AD7454">
        <w:rPr>
          <w:rFonts w:ascii="Tahoma" w:hAnsi="Tahoma" w:cs="Tahoma"/>
          <w:b/>
          <w:sz w:val="20"/>
          <w:szCs w:val="20"/>
          <w:u w:val="single"/>
        </w:rPr>
        <w:t>urpose and Scope</w:t>
      </w:r>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To advise Council, Senate</w:t>
      </w:r>
      <w:r w:rsidR="001E7C0B" w:rsidRPr="00AD7454">
        <w:rPr>
          <w:rFonts w:ascii="Tahoma" w:hAnsi="Tahoma" w:cs="Tahoma"/>
          <w:sz w:val="20"/>
          <w:szCs w:val="20"/>
        </w:rPr>
        <w:t>,</w:t>
      </w:r>
      <w:r w:rsidRPr="00AD7454">
        <w:rPr>
          <w:rFonts w:ascii="Tahoma" w:hAnsi="Tahoma" w:cs="Tahoma"/>
          <w:sz w:val="20"/>
          <w:szCs w:val="20"/>
        </w:rPr>
        <w:t xml:space="preserve"> the</w:t>
      </w:r>
      <w:r w:rsidR="00D46D7A" w:rsidRPr="00AD7454">
        <w:rPr>
          <w:rFonts w:ascii="Tahoma" w:hAnsi="Tahoma" w:cs="Tahoma"/>
          <w:sz w:val="20"/>
          <w:szCs w:val="20"/>
        </w:rPr>
        <w:t xml:space="preserve"> University Operations Team (UOT</w:t>
      </w:r>
      <w:r w:rsidRPr="00AD7454">
        <w:rPr>
          <w:rFonts w:ascii="Tahoma" w:hAnsi="Tahoma" w:cs="Tahoma"/>
          <w:sz w:val="20"/>
          <w:szCs w:val="20"/>
        </w:rPr>
        <w:t xml:space="preserve">) and the University as a whole on issues </w:t>
      </w:r>
      <w:r w:rsidR="00C4470A" w:rsidRPr="00AD7454">
        <w:rPr>
          <w:rFonts w:ascii="Tahoma" w:hAnsi="Tahoma" w:cs="Tahoma"/>
          <w:sz w:val="20"/>
          <w:szCs w:val="20"/>
        </w:rPr>
        <w:t>of both</w:t>
      </w:r>
      <w:r w:rsidRPr="00AD7454">
        <w:rPr>
          <w:rFonts w:ascii="Tahoma" w:hAnsi="Tahoma" w:cs="Tahoma"/>
          <w:sz w:val="20"/>
          <w:szCs w:val="20"/>
        </w:rPr>
        <w:t xml:space="preserve"> equality and diversity.</w:t>
      </w:r>
      <w:bookmarkStart w:id="0" w:name="_GoBack"/>
      <w:bookmarkEnd w:id="0"/>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 xml:space="preserve">In line with Newman University’s Catholic ethos, to support the development of a culture which values all individuals and fosters an inclusive learning environment. </w:t>
      </w:r>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 xml:space="preserve">To positively promote equal opportunities through the dissemination of effective practice. </w:t>
      </w:r>
    </w:p>
    <w:p w:rsidR="00507BB5" w:rsidRDefault="00E72A47" w:rsidP="00507BB5">
      <w:pPr>
        <w:spacing w:before="240" w:after="240" w:line="240" w:lineRule="auto"/>
        <w:rPr>
          <w:rFonts w:ascii="Tahoma" w:hAnsi="Tahoma" w:cs="Tahoma"/>
          <w:b/>
          <w:sz w:val="20"/>
          <w:szCs w:val="20"/>
          <w:u w:val="single"/>
        </w:rPr>
      </w:pPr>
      <w:r w:rsidRPr="00AD7454">
        <w:rPr>
          <w:rFonts w:ascii="Tahoma" w:hAnsi="Tahoma" w:cs="Tahoma"/>
          <w:b/>
          <w:sz w:val="20"/>
          <w:szCs w:val="20"/>
          <w:u w:val="single"/>
        </w:rPr>
        <w:t>Terms of Reference</w:t>
      </w:r>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To advise the University on the fulfilment of statutory requirements related to equality and diversity</w:t>
      </w:r>
      <w:r w:rsidR="00907994" w:rsidRPr="00AD7454">
        <w:rPr>
          <w:rFonts w:ascii="Tahoma" w:hAnsi="Tahoma" w:cs="Tahoma"/>
          <w:sz w:val="20"/>
          <w:szCs w:val="20"/>
        </w:rPr>
        <w:t>.</w:t>
      </w:r>
    </w:p>
    <w:p w:rsidR="00E72A47" w:rsidRPr="00AD7454" w:rsidRDefault="00C4470A" w:rsidP="00507BB5">
      <w:pPr>
        <w:spacing w:before="240" w:after="240" w:line="240" w:lineRule="auto"/>
        <w:rPr>
          <w:rFonts w:ascii="Tahoma" w:hAnsi="Tahoma" w:cs="Tahoma"/>
          <w:sz w:val="20"/>
          <w:szCs w:val="20"/>
        </w:rPr>
      </w:pPr>
      <w:r w:rsidRPr="00AD7454">
        <w:rPr>
          <w:rFonts w:ascii="Tahoma" w:hAnsi="Tahoma" w:cs="Tahoma"/>
          <w:sz w:val="20"/>
          <w:szCs w:val="20"/>
        </w:rPr>
        <w:t>To ensure</w:t>
      </w:r>
      <w:r w:rsidR="00E72A47" w:rsidRPr="00AD7454">
        <w:rPr>
          <w:rFonts w:ascii="Tahoma" w:hAnsi="Tahoma" w:cs="Tahoma"/>
          <w:sz w:val="20"/>
          <w:szCs w:val="20"/>
        </w:rPr>
        <w:t xml:space="preserve"> that the principles of equality and diversity are embedded in University culture, documentation and practice</w:t>
      </w:r>
      <w:r w:rsidR="00907994" w:rsidRPr="00AD7454">
        <w:rPr>
          <w:rFonts w:ascii="Tahoma" w:hAnsi="Tahoma" w:cs="Tahoma"/>
          <w:sz w:val="20"/>
          <w:szCs w:val="20"/>
        </w:rPr>
        <w:t>.</w:t>
      </w:r>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 xml:space="preserve">To support the development of a fully inclusive and non-discriminatory learning and working </w:t>
      </w:r>
      <w:r w:rsidR="00907994" w:rsidRPr="00AD7454">
        <w:rPr>
          <w:rFonts w:ascii="Tahoma" w:hAnsi="Tahoma" w:cs="Tahoma"/>
          <w:sz w:val="20"/>
          <w:szCs w:val="20"/>
        </w:rPr>
        <w:t>environment.</w:t>
      </w:r>
      <w:r w:rsidRPr="00AD7454">
        <w:rPr>
          <w:rFonts w:ascii="Tahoma" w:hAnsi="Tahoma" w:cs="Tahoma"/>
          <w:sz w:val="20"/>
          <w:szCs w:val="20"/>
        </w:rPr>
        <w:t xml:space="preserve"> </w:t>
      </w:r>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To monitor the implementation of equality and diversity</w:t>
      </w:r>
      <w:r w:rsidR="00907994" w:rsidRPr="00AD7454">
        <w:rPr>
          <w:rFonts w:ascii="Tahoma" w:hAnsi="Tahoma" w:cs="Tahoma"/>
          <w:sz w:val="20"/>
          <w:szCs w:val="20"/>
        </w:rPr>
        <w:t>.</w:t>
      </w:r>
      <w:r w:rsidRPr="00AD7454">
        <w:rPr>
          <w:rFonts w:ascii="Tahoma" w:hAnsi="Tahoma" w:cs="Tahoma"/>
          <w:sz w:val="20"/>
          <w:szCs w:val="20"/>
        </w:rPr>
        <w:t xml:space="preserve"> </w:t>
      </w:r>
    </w:p>
    <w:p w:rsidR="00636A09" w:rsidRPr="00AD7454" w:rsidRDefault="00636A09" w:rsidP="00507BB5">
      <w:pPr>
        <w:spacing w:before="240" w:after="240" w:line="240" w:lineRule="auto"/>
        <w:rPr>
          <w:rFonts w:ascii="Tahoma" w:hAnsi="Tahoma" w:cs="Tahoma"/>
          <w:sz w:val="20"/>
          <w:szCs w:val="20"/>
        </w:rPr>
      </w:pPr>
      <w:r w:rsidRPr="00AD7454">
        <w:rPr>
          <w:rFonts w:ascii="Tahoma" w:hAnsi="Tahoma" w:cs="Tahoma"/>
          <w:sz w:val="20"/>
          <w:szCs w:val="20"/>
        </w:rPr>
        <w:t>T</w:t>
      </w:r>
      <w:r w:rsidR="006A226E" w:rsidRPr="00AD7454">
        <w:rPr>
          <w:rFonts w:ascii="Tahoma" w:hAnsi="Tahoma" w:cs="Tahoma"/>
          <w:sz w:val="20"/>
          <w:szCs w:val="20"/>
        </w:rPr>
        <w:t xml:space="preserve">o consider </w:t>
      </w:r>
      <w:r w:rsidRPr="00AD7454">
        <w:rPr>
          <w:rFonts w:ascii="Tahoma" w:hAnsi="Tahoma" w:cs="Tahoma"/>
          <w:sz w:val="20"/>
          <w:szCs w:val="20"/>
        </w:rPr>
        <w:t xml:space="preserve">policies, whether new or being updated, and advise where necessary. </w:t>
      </w:r>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To ensure that a regular review is undertaken in relation to all University policies and processes and that any actions arising are followed through</w:t>
      </w:r>
      <w:r w:rsidR="00907994" w:rsidRPr="00AD7454">
        <w:rPr>
          <w:rFonts w:ascii="Tahoma" w:hAnsi="Tahoma" w:cs="Tahoma"/>
          <w:sz w:val="20"/>
          <w:szCs w:val="20"/>
        </w:rPr>
        <w:t>.</w:t>
      </w:r>
      <w:r w:rsidRPr="00AD7454">
        <w:rPr>
          <w:rFonts w:ascii="Tahoma" w:hAnsi="Tahoma" w:cs="Tahoma"/>
          <w:sz w:val="20"/>
          <w:szCs w:val="20"/>
        </w:rPr>
        <w:t xml:space="preserve"> </w:t>
      </w:r>
    </w:p>
    <w:p w:rsidR="00636A09" w:rsidRPr="00AD7454" w:rsidRDefault="00636A09" w:rsidP="00507BB5">
      <w:pPr>
        <w:spacing w:before="240" w:after="240" w:line="240" w:lineRule="auto"/>
        <w:rPr>
          <w:rFonts w:ascii="Tahoma" w:hAnsi="Tahoma" w:cs="Tahoma"/>
          <w:sz w:val="20"/>
          <w:szCs w:val="20"/>
        </w:rPr>
      </w:pPr>
      <w:r w:rsidRPr="00AD7454">
        <w:rPr>
          <w:rFonts w:ascii="Tahoma" w:hAnsi="Tahoma" w:cs="Tahoma"/>
          <w:sz w:val="20"/>
          <w:szCs w:val="20"/>
        </w:rPr>
        <w:t xml:space="preserve">To take actions where identified. </w:t>
      </w:r>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To monitor annual statistics with reference to equality and diversity issues; to receive and action any formal recommendations resulting from any incidence of discrimination, victimisation or harassment and make recommendations for subsequent action</w:t>
      </w:r>
      <w:r w:rsidR="00907994" w:rsidRPr="00AD7454">
        <w:rPr>
          <w:rFonts w:ascii="Tahoma" w:hAnsi="Tahoma" w:cs="Tahoma"/>
          <w:sz w:val="20"/>
          <w:szCs w:val="20"/>
        </w:rPr>
        <w:t>.</w:t>
      </w:r>
      <w:r w:rsidRPr="00AD7454">
        <w:rPr>
          <w:rFonts w:ascii="Tahoma" w:hAnsi="Tahoma" w:cs="Tahoma"/>
          <w:sz w:val="20"/>
          <w:szCs w:val="20"/>
        </w:rPr>
        <w:t xml:space="preserve"> </w:t>
      </w:r>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To monitor recruitment and employment practice in relation to equality and diversity</w:t>
      </w:r>
      <w:r w:rsidR="00907994" w:rsidRPr="00AD7454">
        <w:rPr>
          <w:rFonts w:ascii="Tahoma" w:hAnsi="Tahoma" w:cs="Tahoma"/>
          <w:sz w:val="20"/>
          <w:szCs w:val="20"/>
        </w:rPr>
        <w:t>.</w:t>
      </w:r>
    </w:p>
    <w:p w:rsidR="00E72A47" w:rsidRPr="00AD7454" w:rsidRDefault="00E72A47" w:rsidP="00507BB5">
      <w:pPr>
        <w:spacing w:before="240" w:after="240" w:line="240" w:lineRule="auto"/>
        <w:rPr>
          <w:rFonts w:ascii="Tahoma" w:hAnsi="Tahoma" w:cs="Tahoma"/>
          <w:sz w:val="20"/>
          <w:szCs w:val="20"/>
        </w:rPr>
      </w:pPr>
      <w:r w:rsidRPr="00AD7454">
        <w:rPr>
          <w:rFonts w:ascii="Tahoma" w:hAnsi="Tahoma" w:cs="Tahoma"/>
          <w:sz w:val="20"/>
          <w:szCs w:val="20"/>
        </w:rPr>
        <w:t xml:space="preserve">To discuss </w:t>
      </w:r>
      <w:r w:rsidR="001418EE" w:rsidRPr="00AD7454">
        <w:rPr>
          <w:rFonts w:ascii="Tahoma" w:hAnsi="Tahoma" w:cs="Tahoma"/>
          <w:sz w:val="20"/>
          <w:szCs w:val="20"/>
        </w:rPr>
        <w:t>any issues arising from annual monitoring reports and the Staff Survey</w:t>
      </w:r>
      <w:r w:rsidR="00C4470A" w:rsidRPr="00AD7454">
        <w:rPr>
          <w:rFonts w:ascii="Tahoma" w:hAnsi="Tahoma" w:cs="Tahoma"/>
          <w:sz w:val="20"/>
          <w:szCs w:val="20"/>
        </w:rPr>
        <w:t>, and</w:t>
      </w:r>
      <w:r w:rsidR="001418EE" w:rsidRPr="00AD7454">
        <w:rPr>
          <w:rFonts w:ascii="Tahoma" w:hAnsi="Tahoma" w:cs="Tahoma"/>
          <w:sz w:val="20"/>
          <w:szCs w:val="20"/>
        </w:rPr>
        <w:t xml:space="preserve"> make recommendations </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To ensure that appropriate staff development and training opportunities are developed and accessed and to monitor mandatory training</w:t>
      </w:r>
      <w:r w:rsidR="00907994" w:rsidRPr="00AD7454">
        <w:rPr>
          <w:rFonts w:ascii="Tahoma" w:hAnsi="Tahoma" w:cs="Tahoma"/>
          <w:sz w:val="20"/>
          <w:szCs w:val="20"/>
        </w:rPr>
        <w:t>.</w:t>
      </w:r>
    </w:p>
    <w:p w:rsidR="001418EE" w:rsidRPr="00AD7454" w:rsidRDefault="000F59C5" w:rsidP="00507BB5">
      <w:pPr>
        <w:spacing w:before="240" w:after="240" w:line="240" w:lineRule="auto"/>
        <w:rPr>
          <w:rFonts w:ascii="Tahoma" w:hAnsi="Tahoma" w:cs="Tahoma"/>
          <w:sz w:val="20"/>
          <w:szCs w:val="20"/>
        </w:rPr>
      </w:pPr>
      <w:r w:rsidRPr="00AD7454">
        <w:rPr>
          <w:rFonts w:ascii="Tahoma" w:hAnsi="Tahoma" w:cs="Tahoma"/>
          <w:sz w:val="20"/>
          <w:szCs w:val="20"/>
        </w:rPr>
        <w:lastRenderedPageBreak/>
        <w:t xml:space="preserve">To work appropriately with external bodies </w:t>
      </w:r>
      <w:r w:rsidR="001418EE" w:rsidRPr="00AD7454">
        <w:rPr>
          <w:rFonts w:ascii="Tahoma" w:hAnsi="Tahoma" w:cs="Tahoma"/>
          <w:sz w:val="20"/>
          <w:szCs w:val="20"/>
        </w:rPr>
        <w:t xml:space="preserve">or </w:t>
      </w:r>
      <w:r w:rsidRPr="00AD7454">
        <w:rPr>
          <w:rFonts w:ascii="Tahoma" w:hAnsi="Tahoma" w:cs="Tahoma"/>
          <w:sz w:val="20"/>
          <w:szCs w:val="20"/>
        </w:rPr>
        <w:t>set up task groups</w:t>
      </w:r>
      <w:r w:rsidR="001418EE" w:rsidRPr="00AD7454">
        <w:rPr>
          <w:rFonts w:ascii="Tahoma" w:hAnsi="Tahoma" w:cs="Tahoma"/>
          <w:sz w:val="20"/>
          <w:szCs w:val="20"/>
        </w:rPr>
        <w:t xml:space="preserve"> to address specific issues as </w:t>
      </w:r>
      <w:r w:rsidR="00907994" w:rsidRPr="00AD7454">
        <w:rPr>
          <w:rFonts w:ascii="Tahoma" w:hAnsi="Tahoma" w:cs="Tahoma"/>
          <w:sz w:val="20"/>
          <w:szCs w:val="20"/>
        </w:rPr>
        <w:t>necessary.</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To provide an annual report to UOT, Senate and Council</w:t>
      </w:r>
      <w:r w:rsidR="00907994" w:rsidRPr="00AD7454">
        <w:rPr>
          <w:rFonts w:ascii="Tahoma" w:hAnsi="Tahoma" w:cs="Tahoma"/>
          <w:sz w:val="20"/>
          <w:szCs w:val="20"/>
        </w:rPr>
        <w:t>.</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To publish annually results of monitoring carried out in line with the Public Sector Equality Duty</w:t>
      </w:r>
      <w:r w:rsidR="00907994" w:rsidRPr="00AD7454">
        <w:rPr>
          <w:rFonts w:ascii="Tahoma" w:hAnsi="Tahoma" w:cs="Tahoma"/>
          <w:sz w:val="20"/>
          <w:szCs w:val="20"/>
        </w:rPr>
        <w:t>.</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To receive, review and respond to submissions from students and staff pertaining to importance and/or unresolved matters relating to equality and diversity</w:t>
      </w:r>
      <w:r w:rsidR="00907994" w:rsidRPr="00AD7454">
        <w:rPr>
          <w:rFonts w:ascii="Tahoma" w:hAnsi="Tahoma" w:cs="Tahoma"/>
          <w:sz w:val="20"/>
          <w:szCs w:val="20"/>
        </w:rPr>
        <w:t>.</w:t>
      </w:r>
      <w:r w:rsidR="000F59C5" w:rsidRPr="00AD7454">
        <w:rPr>
          <w:rFonts w:ascii="Tahoma" w:hAnsi="Tahoma" w:cs="Tahoma"/>
          <w:sz w:val="20"/>
          <w:szCs w:val="20"/>
        </w:rPr>
        <w:t xml:space="preserve"> </w:t>
      </w:r>
    </w:p>
    <w:p w:rsidR="006A226E" w:rsidRPr="00AD7454" w:rsidRDefault="006A226E" w:rsidP="00507BB5">
      <w:pPr>
        <w:spacing w:before="240" w:after="240" w:line="240" w:lineRule="auto"/>
        <w:rPr>
          <w:rFonts w:ascii="Tahoma" w:hAnsi="Tahoma" w:cs="Tahoma"/>
          <w:sz w:val="20"/>
          <w:szCs w:val="20"/>
        </w:rPr>
      </w:pPr>
      <w:r w:rsidRPr="00AD7454">
        <w:rPr>
          <w:rFonts w:ascii="Tahoma" w:hAnsi="Tahoma" w:cs="Tahoma"/>
          <w:sz w:val="20"/>
          <w:szCs w:val="20"/>
        </w:rPr>
        <w:t xml:space="preserve">To work with the Retention and Success Task Group, particularly in relation to the Access and Participation plan. </w:t>
      </w:r>
    </w:p>
    <w:p w:rsidR="001418EE" w:rsidRPr="00AD7454" w:rsidRDefault="001418EE" w:rsidP="00507BB5">
      <w:pPr>
        <w:spacing w:before="240" w:after="240" w:line="240" w:lineRule="auto"/>
        <w:rPr>
          <w:rFonts w:ascii="Tahoma" w:hAnsi="Tahoma" w:cs="Tahoma"/>
          <w:b/>
          <w:sz w:val="20"/>
          <w:szCs w:val="20"/>
          <w:u w:val="single"/>
        </w:rPr>
      </w:pPr>
      <w:r w:rsidRPr="00AD7454">
        <w:rPr>
          <w:rFonts w:ascii="Tahoma" w:hAnsi="Tahoma" w:cs="Tahoma"/>
          <w:b/>
          <w:sz w:val="20"/>
          <w:szCs w:val="20"/>
          <w:u w:val="single"/>
        </w:rPr>
        <w:t>Reporting</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Equality and Diversity Committee usually reports to Senate, Council and UOT as necessary.</w:t>
      </w:r>
    </w:p>
    <w:p w:rsidR="001418EE" w:rsidRPr="00AD7454" w:rsidRDefault="001418EE" w:rsidP="00507BB5">
      <w:pPr>
        <w:spacing w:before="240" w:after="240" w:line="240" w:lineRule="auto"/>
        <w:rPr>
          <w:rFonts w:ascii="Tahoma" w:hAnsi="Tahoma" w:cs="Tahoma"/>
          <w:b/>
          <w:sz w:val="20"/>
          <w:szCs w:val="20"/>
          <w:u w:val="single"/>
        </w:rPr>
      </w:pPr>
      <w:proofErr w:type="spellStart"/>
      <w:r w:rsidRPr="00AD7454">
        <w:rPr>
          <w:rFonts w:ascii="Tahoma" w:hAnsi="Tahoma" w:cs="Tahoma"/>
          <w:b/>
          <w:sz w:val="20"/>
          <w:szCs w:val="20"/>
          <w:u w:val="single"/>
        </w:rPr>
        <w:t>Quoracy</w:t>
      </w:r>
      <w:proofErr w:type="spellEnd"/>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 xml:space="preserve">The Equality and Diversity Committee is considered quorate where there are at least 50% +1 members present.  Attendance of members will be monitored on an annual basis. </w:t>
      </w:r>
    </w:p>
    <w:p w:rsidR="001418EE" w:rsidRPr="00AD7454" w:rsidRDefault="001418EE" w:rsidP="00507BB5">
      <w:pPr>
        <w:spacing w:before="240" w:after="240" w:line="240" w:lineRule="auto"/>
        <w:rPr>
          <w:rFonts w:ascii="Tahoma" w:hAnsi="Tahoma" w:cs="Tahoma"/>
          <w:b/>
          <w:sz w:val="20"/>
          <w:szCs w:val="20"/>
          <w:u w:val="single"/>
        </w:rPr>
      </w:pPr>
      <w:r w:rsidRPr="00AD7454">
        <w:rPr>
          <w:rFonts w:ascii="Tahoma" w:hAnsi="Tahoma" w:cs="Tahoma"/>
          <w:b/>
          <w:sz w:val="20"/>
          <w:szCs w:val="20"/>
          <w:u w:val="single"/>
        </w:rPr>
        <w:t>Frequency of Meetings</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Four per year.</w:t>
      </w:r>
    </w:p>
    <w:p w:rsidR="001418EE" w:rsidRPr="00AD7454" w:rsidRDefault="001418EE" w:rsidP="00507BB5">
      <w:pPr>
        <w:spacing w:before="240" w:after="240" w:line="240" w:lineRule="auto"/>
        <w:rPr>
          <w:rFonts w:ascii="Tahoma" w:hAnsi="Tahoma" w:cs="Tahoma"/>
          <w:b/>
          <w:sz w:val="20"/>
          <w:szCs w:val="20"/>
          <w:u w:val="single"/>
        </w:rPr>
      </w:pPr>
      <w:r w:rsidRPr="00AD7454">
        <w:rPr>
          <w:rFonts w:ascii="Tahoma" w:hAnsi="Tahoma" w:cs="Tahoma"/>
          <w:b/>
          <w:sz w:val="20"/>
          <w:szCs w:val="20"/>
          <w:u w:val="single"/>
        </w:rPr>
        <w:t xml:space="preserve">Constitution </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The Vice-Chancellor w</w:t>
      </w:r>
      <w:r w:rsidR="00AE7AF4" w:rsidRPr="00AD7454">
        <w:rPr>
          <w:rFonts w:ascii="Tahoma" w:hAnsi="Tahoma" w:cs="Tahoma"/>
          <w:sz w:val="20"/>
          <w:szCs w:val="20"/>
        </w:rPr>
        <w:t>ill chair the Committee.  In their</w:t>
      </w:r>
      <w:r w:rsidRPr="00AD7454">
        <w:rPr>
          <w:rFonts w:ascii="Tahoma" w:hAnsi="Tahoma" w:cs="Tahoma"/>
          <w:sz w:val="20"/>
          <w:szCs w:val="20"/>
        </w:rPr>
        <w:t xml:space="preserve"> absence a nominee of the Vice-Chancellor will chair. </w:t>
      </w:r>
    </w:p>
    <w:p w:rsidR="001418EE" w:rsidRPr="00AD7454" w:rsidRDefault="001418EE" w:rsidP="00507BB5">
      <w:pPr>
        <w:spacing w:before="240" w:after="240" w:line="240" w:lineRule="auto"/>
        <w:rPr>
          <w:rFonts w:ascii="Tahoma" w:hAnsi="Tahoma" w:cs="Tahoma"/>
          <w:b/>
          <w:sz w:val="20"/>
          <w:szCs w:val="20"/>
          <w:u w:val="single"/>
        </w:rPr>
      </w:pPr>
      <w:r w:rsidRPr="00AD7454">
        <w:rPr>
          <w:rFonts w:ascii="Tahoma" w:hAnsi="Tahoma" w:cs="Tahoma"/>
          <w:b/>
          <w:sz w:val="20"/>
          <w:szCs w:val="20"/>
          <w:u w:val="single"/>
        </w:rPr>
        <w:t>Membership</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Membership should reflect the diversity of the University workforce and in</w:t>
      </w:r>
      <w:r w:rsidR="0090731B" w:rsidRPr="00AD7454">
        <w:rPr>
          <w:rFonts w:ascii="Tahoma" w:hAnsi="Tahoma" w:cs="Tahoma"/>
          <w:sz w:val="20"/>
          <w:szCs w:val="20"/>
        </w:rPr>
        <w:t xml:space="preserve">clude </w:t>
      </w:r>
      <w:r w:rsidR="005450B2" w:rsidRPr="00AD7454">
        <w:rPr>
          <w:rFonts w:ascii="Tahoma" w:hAnsi="Tahoma" w:cs="Tahoma"/>
          <w:sz w:val="20"/>
          <w:szCs w:val="20"/>
        </w:rPr>
        <w:t>student representative</w:t>
      </w:r>
      <w:r w:rsidR="0090731B" w:rsidRPr="00AD7454">
        <w:rPr>
          <w:rFonts w:ascii="Tahoma" w:hAnsi="Tahoma" w:cs="Tahoma"/>
          <w:sz w:val="20"/>
          <w:szCs w:val="20"/>
        </w:rPr>
        <w:t>s</w:t>
      </w:r>
      <w:r w:rsidR="005450B2" w:rsidRPr="00AD7454">
        <w:rPr>
          <w:rFonts w:ascii="Tahoma" w:hAnsi="Tahoma" w:cs="Tahoma"/>
          <w:sz w:val="20"/>
          <w:szCs w:val="20"/>
        </w:rPr>
        <w:t>.</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Vice-Chancellor (Chairperson)</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University Secretary and Registrar</w:t>
      </w:r>
    </w:p>
    <w:p w:rsidR="001418EE" w:rsidRPr="00AD7454" w:rsidRDefault="001418EE" w:rsidP="00507BB5">
      <w:pPr>
        <w:spacing w:before="240" w:after="240" w:line="240" w:lineRule="auto"/>
        <w:rPr>
          <w:rFonts w:ascii="Tahoma" w:hAnsi="Tahoma" w:cs="Tahoma"/>
          <w:sz w:val="20"/>
          <w:szCs w:val="20"/>
        </w:rPr>
      </w:pPr>
      <w:r w:rsidRPr="00AD7454">
        <w:rPr>
          <w:rFonts w:ascii="Tahoma" w:hAnsi="Tahoma" w:cs="Tahoma"/>
          <w:sz w:val="20"/>
          <w:szCs w:val="20"/>
        </w:rPr>
        <w:t xml:space="preserve">Deputy </w:t>
      </w:r>
      <w:r w:rsidR="004B13FE" w:rsidRPr="00AD7454">
        <w:rPr>
          <w:rFonts w:ascii="Tahoma" w:hAnsi="Tahoma" w:cs="Tahoma"/>
          <w:sz w:val="20"/>
          <w:szCs w:val="20"/>
        </w:rPr>
        <w:t>Vice-Chancellor</w:t>
      </w:r>
    </w:p>
    <w:p w:rsidR="004B13FE"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t>Deputy Registrar</w:t>
      </w:r>
    </w:p>
    <w:p w:rsidR="004B13FE"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t>Director of Human Resources</w:t>
      </w:r>
    </w:p>
    <w:p w:rsidR="004B13FE"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t>Director of Student Services</w:t>
      </w:r>
    </w:p>
    <w:p w:rsidR="004B13FE" w:rsidRPr="00AD7454" w:rsidRDefault="00A5064F" w:rsidP="00507BB5">
      <w:pPr>
        <w:spacing w:before="240" w:after="240" w:line="240" w:lineRule="auto"/>
        <w:rPr>
          <w:rFonts w:ascii="Tahoma" w:hAnsi="Tahoma" w:cs="Tahoma"/>
          <w:sz w:val="20"/>
          <w:szCs w:val="20"/>
        </w:rPr>
      </w:pPr>
      <w:r w:rsidRPr="00AD7454">
        <w:rPr>
          <w:rFonts w:ascii="Tahoma" w:hAnsi="Tahoma" w:cs="Tahoma"/>
          <w:sz w:val="20"/>
          <w:szCs w:val="20"/>
        </w:rPr>
        <w:t>Director of Corporate Marketing</w:t>
      </w:r>
    </w:p>
    <w:p w:rsidR="004B13FE"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t>Director of Learning, Teaching and Scholarship</w:t>
      </w:r>
    </w:p>
    <w:p w:rsidR="004B13FE"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t>University Chapl</w:t>
      </w:r>
      <w:r w:rsidR="001E7C0B" w:rsidRPr="00AD7454">
        <w:rPr>
          <w:rFonts w:ascii="Tahoma" w:hAnsi="Tahoma" w:cs="Tahoma"/>
          <w:sz w:val="20"/>
          <w:szCs w:val="20"/>
        </w:rPr>
        <w:t>a</w:t>
      </w:r>
      <w:r w:rsidRPr="00AD7454">
        <w:rPr>
          <w:rFonts w:ascii="Tahoma" w:hAnsi="Tahoma" w:cs="Tahoma"/>
          <w:sz w:val="20"/>
          <w:szCs w:val="20"/>
        </w:rPr>
        <w:t>in</w:t>
      </w:r>
    </w:p>
    <w:p w:rsidR="004B13FE" w:rsidRPr="00AD7454" w:rsidRDefault="006A226E" w:rsidP="00507BB5">
      <w:pPr>
        <w:spacing w:before="240" w:after="240" w:line="240" w:lineRule="auto"/>
        <w:rPr>
          <w:rFonts w:ascii="Tahoma" w:hAnsi="Tahoma" w:cs="Tahoma"/>
          <w:sz w:val="20"/>
          <w:szCs w:val="20"/>
        </w:rPr>
      </w:pPr>
      <w:r w:rsidRPr="00AD7454">
        <w:rPr>
          <w:rFonts w:ascii="Tahoma" w:hAnsi="Tahoma" w:cs="Tahoma"/>
          <w:sz w:val="20"/>
          <w:szCs w:val="20"/>
        </w:rPr>
        <w:t xml:space="preserve">A minimum of four </w:t>
      </w:r>
      <w:r w:rsidR="004B13FE" w:rsidRPr="00AD7454">
        <w:rPr>
          <w:rFonts w:ascii="Tahoma" w:hAnsi="Tahoma" w:cs="Tahoma"/>
          <w:sz w:val="20"/>
          <w:szCs w:val="20"/>
        </w:rPr>
        <w:t>Academic staff members (two from Faculty of Education and two from Faculty of Arts, Society and Professional Studies)</w:t>
      </w:r>
    </w:p>
    <w:p w:rsidR="004B13FE"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lastRenderedPageBreak/>
        <w:t xml:space="preserve">Estates </w:t>
      </w:r>
      <w:r w:rsidR="00291192" w:rsidRPr="00AD7454">
        <w:rPr>
          <w:rFonts w:ascii="Tahoma" w:hAnsi="Tahoma" w:cs="Tahoma"/>
          <w:sz w:val="20"/>
          <w:szCs w:val="20"/>
        </w:rPr>
        <w:t>r</w:t>
      </w:r>
      <w:r w:rsidRPr="00AD7454">
        <w:rPr>
          <w:rFonts w:ascii="Tahoma" w:hAnsi="Tahoma" w:cs="Tahoma"/>
          <w:sz w:val="20"/>
          <w:szCs w:val="20"/>
        </w:rPr>
        <w:t>epresentative</w:t>
      </w:r>
    </w:p>
    <w:p w:rsidR="004B13FE"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t>Inclusion Coordinator</w:t>
      </w:r>
    </w:p>
    <w:p w:rsidR="004B13FE" w:rsidRPr="00AD7454" w:rsidRDefault="00291192" w:rsidP="00507BB5">
      <w:pPr>
        <w:spacing w:before="240" w:after="240" w:line="240" w:lineRule="auto"/>
        <w:rPr>
          <w:rFonts w:ascii="Tahoma" w:hAnsi="Tahoma" w:cs="Tahoma"/>
          <w:sz w:val="20"/>
          <w:szCs w:val="20"/>
        </w:rPr>
      </w:pPr>
      <w:r w:rsidRPr="00AD7454">
        <w:rPr>
          <w:rFonts w:ascii="Tahoma" w:hAnsi="Tahoma" w:cs="Tahoma"/>
          <w:sz w:val="20"/>
          <w:szCs w:val="20"/>
        </w:rPr>
        <w:t>IT Services r</w:t>
      </w:r>
      <w:r w:rsidR="004B13FE" w:rsidRPr="00AD7454">
        <w:rPr>
          <w:rFonts w:ascii="Tahoma" w:hAnsi="Tahoma" w:cs="Tahoma"/>
          <w:sz w:val="20"/>
          <w:szCs w:val="20"/>
        </w:rPr>
        <w:t>epresentative</w:t>
      </w:r>
    </w:p>
    <w:p w:rsidR="005450B2"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t xml:space="preserve">Learning, Teaching </w:t>
      </w:r>
      <w:r w:rsidR="00291192" w:rsidRPr="00AD7454">
        <w:rPr>
          <w:rFonts w:ascii="Tahoma" w:hAnsi="Tahoma" w:cs="Tahoma"/>
          <w:sz w:val="20"/>
          <w:szCs w:val="20"/>
        </w:rPr>
        <w:t>and Academic Quality Committee r</w:t>
      </w:r>
      <w:r w:rsidRPr="00AD7454">
        <w:rPr>
          <w:rFonts w:ascii="Tahoma" w:hAnsi="Tahoma" w:cs="Tahoma"/>
          <w:sz w:val="20"/>
          <w:szCs w:val="20"/>
        </w:rPr>
        <w:t>epresentative</w:t>
      </w:r>
    </w:p>
    <w:p w:rsidR="00AE7AF4"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t>Professional</w:t>
      </w:r>
      <w:r w:rsidR="001E7C0B" w:rsidRPr="00AD7454">
        <w:rPr>
          <w:rFonts w:ascii="Tahoma" w:hAnsi="Tahoma" w:cs="Tahoma"/>
          <w:sz w:val="20"/>
          <w:szCs w:val="20"/>
        </w:rPr>
        <w:t xml:space="preserve"> and S</w:t>
      </w:r>
      <w:r w:rsidR="00AE7AF4" w:rsidRPr="00AD7454">
        <w:rPr>
          <w:rFonts w:ascii="Tahoma" w:hAnsi="Tahoma" w:cs="Tahoma"/>
          <w:sz w:val="20"/>
          <w:szCs w:val="20"/>
        </w:rPr>
        <w:t xml:space="preserve">upport staff members </w:t>
      </w:r>
    </w:p>
    <w:p w:rsidR="004B13FE" w:rsidRPr="00AD7454" w:rsidRDefault="00AE7AF4" w:rsidP="00507BB5">
      <w:pPr>
        <w:spacing w:before="240" w:after="240" w:line="240" w:lineRule="auto"/>
        <w:rPr>
          <w:rFonts w:ascii="Tahoma" w:hAnsi="Tahoma" w:cs="Tahoma"/>
          <w:sz w:val="20"/>
          <w:szCs w:val="20"/>
        </w:rPr>
      </w:pPr>
      <w:r w:rsidRPr="00AD7454">
        <w:rPr>
          <w:rFonts w:ascii="Tahoma" w:hAnsi="Tahoma" w:cs="Tahoma"/>
          <w:sz w:val="20"/>
          <w:szCs w:val="20"/>
        </w:rPr>
        <w:t>S</w:t>
      </w:r>
      <w:r w:rsidR="001E7C0B" w:rsidRPr="00AD7454">
        <w:rPr>
          <w:rFonts w:ascii="Tahoma" w:hAnsi="Tahoma" w:cs="Tahoma"/>
          <w:sz w:val="20"/>
          <w:szCs w:val="20"/>
        </w:rPr>
        <w:t xml:space="preserve">taff representing protected characteristics </w:t>
      </w:r>
    </w:p>
    <w:p w:rsidR="004B13FE" w:rsidRPr="00AD7454" w:rsidRDefault="00291192" w:rsidP="00507BB5">
      <w:pPr>
        <w:spacing w:before="240" w:after="240" w:line="240" w:lineRule="auto"/>
        <w:rPr>
          <w:rFonts w:ascii="Tahoma" w:hAnsi="Tahoma" w:cs="Tahoma"/>
          <w:sz w:val="20"/>
          <w:szCs w:val="20"/>
        </w:rPr>
      </w:pPr>
      <w:r w:rsidRPr="00AD7454">
        <w:rPr>
          <w:rFonts w:ascii="Tahoma" w:hAnsi="Tahoma" w:cs="Tahoma"/>
          <w:sz w:val="20"/>
          <w:szCs w:val="20"/>
        </w:rPr>
        <w:t>Student r</w:t>
      </w:r>
      <w:r w:rsidR="001E7C0B" w:rsidRPr="00AD7454">
        <w:rPr>
          <w:rFonts w:ascii="Tahoma" w:hAnsi="Tahoma" w:cs="Tahoma"/>
          <w:sz w:val="20"/>
          <w:szCs w:val="20"/>
        </w:rPr>
        <w:t>epresentatives</w:t>
      </w:r>
      <w:r w:rsidR="00FA4925" w:rsidRPr="00AD7454">
        <w:rPr>
          <w:rFonts w:ascii="Tahoma" w:hAnsi="Tahoma" w:cs="Tahoma"/>
          <w:sz w:val="20"/>
          <w:szCs w:val="20"/>
        </w:rPr>
        <w:t xml:space="preserve"> (</w:t>
      </w:r>
      <w:r w:rsidR="0095149B" w:rsidRPr="00AD7454">
        <w:rPr>
          <w:rFonts w:ascii="Tahoma" w:hAnsi="Tahoma" w:cs="Tahoma"/>
          <w:sz w:val="20"/>
          <w:szCs w:val="20"/>
        </w:rPr>
        <w:t>as many as the Committee feels appropriate</w:t>
      </w:r>
      <w:r w:rsidR="00FA4925" w:rsidRPr="00AD7454">
        <w:rPr>
          <w:rFonts w:ascii="Tahoma" w:hAnsi="Tahoma" w:cs="Tahoma"/>
          <w:sz w:val="20"/>
          <w:szCs w:val="20"/>
        </w:rPr>
        <w:t>)</w:t>
      </w:r>
    </w:p>
    <w:p w:rsidR="004B13FE" w:rsidRPr="00AD7454" w:rsidRDefault="00291192" w:rsidP="00507BB5">
      <w:pPr>
        <w:spacing w:before="240" w:after="240" w:line="240" w:lineRule="auto"/>
        <w:rPr>
          <w:rFonts w:ascii="Tahoma" w:hAnsi="Tahoma" w:cs="Tahoma"/>
          <w:sz w:val="20"/>
          <w:szCs w:val="20"/>
        </w:rPr>
      </w:pPr>
      <w:r w:rsidRPr="00AD7454">
        <w:rPr>
          <w:rFonts w:ascii="Tahoma" w:hAnsi="Tahoma" w:cs="Tahoma"/>
          <w:sz w:val="20"/>
          <w:szCs w:val="20"/>
        </w:rPr>
        <w:t>Union r</w:t>
      </w:r>
      <w:r w:rsidR="001E7C0B" w:rsidRPr="00AD7454">
        <w:rPr>
          <w:rFonts w:ascii="Tahoma" w:hAnsi="Tahoma" w:cs="Tahoma"/>
          <w:sz w:val="20"/>
          <w:szCs w:val="20"/>
        </w:rPr>
        <w:t xml:space="preserve">epresentatives </w:t>
      </w:r>
    </w:p>
    <w:p w:rsidR="004B13FE" w:rsidRPr="00AD7454" w:rsidRDefault="004B13FE" w:rsidP="00507BB5">
      <w:pPr>
        <w:spacing w:before="240" w:after="240" w:line="240" w:lineRule="auto"/>
        <w:rPr>
          <w:rFonts w:ascii="Tahoma" w:hAnsi="Tahoma" w:cs="Tahoma"/>
          <w:b/>
          <w:sz w:val="20"/>
          <w:szCs w:val="20"/>
          <w:u w:val="single"/>
        </w:rPr>
      </w:pPr>
      <w:r w:rsidRPr="00AD7454">
        <w:rPr>
          <w:rFonts w:ascii="Tahoma" w:hAnsi="Tahoma" w:cs="Tahoma"/>
          <w:b/>
          <w:sz w:val="20"/>
          <w:szCs w:val="20"/>
          <w:u w:val="single"/>
        </w:rPr>
        <w:t>Tenure</w:t>
      </w:r>
    </w:p>
    <w:p w:rsidR="004B13FE" w:rsidRPr="00AD7454" w:rsidRDefault="004B13FE" w:rsidP="00507BB5">
      <w:pPr>
        <w:spacing w:before="240" w:after="240" w:line="240" w:lineRule="auto"/>
        <w:rPr>
          <w:rFonts w:ascii="Tahoma" w:hAnsi="Tahoma" w:cs="Tahoma"/>
          <w:sz w:val="20"/>
          <w:szCs w:val="20"/>
        </w:rPr>
      </w:pPr>
      <w:r w:rsidRPr="00AD7454">
        <w:rPr>
          <w:rFonts w:ascii="Tahoma" w:hAnsi="Tahoma" w:cs="Tahoma"/>
          <w:sz w:val="20"/>
          <w:szCs w:val="20"/>
        </w:rPr>
        <w:t>For elected/nominated members: 3 years, with the possibility of nomination for a further 3 years (6 in total).</w:t>
      </w:r>
    </w:p>
    <w:p w:rsidR="004B13FE" w:rsidRPr="00AD7454" w:rsidRDefault="004B13FE" w:rsidP="00507BB5">
      <w:pPr>
        <w:spacing w:before="240" w:after="240" w:line="240" w:lineRule="auto"/>
        <w:rPr>
          <w:rFonts w:ascii="Tahoma" w:hAnsi="Tahoma" w:cs="Tahoma"/>
          <w:b/>
          <w:sz w:val="20"/>
          <w:szCs w:val="20"/>
          <w:u w:val="single"/>
        </w:rPr>
      </w:pPr>
      <w:r w:rsidRPr="00AD7454">
        <w:rPr>
          <w:rFonts w:ascii="Tahoma" w:hAnsi="Tahoma" w:cs="Tahoma"/>
          <w:b/>
          <w:sz w:val="20"/>
          <w:szCs w:val="20"/>
          <w:u w:val="single"/>
        </w:rPr>
        <w:t xml:space="preserve">Servicing &amp; Arrangements for Papers </w:t>
      </w:r>
    </w:p>
    <w:p w:rsidR="00AC4FB9" w:rsidRPr="00875D88" w:rsidRDefault="004B13FE" w:rsidP="00507BB5">
      <w:pPr>
        <w:spacing w:before="240" w:after="240" w:line="240" w:lineRule="auto"/>
      </w:pPr>
      <w:r w:rsidRPr="00AD7454">
        <w:rPr>
          <w:rFonts w:ascii="Tahoma" w:hAnsi="Tahoma" w:cs="Tahoma"/>
          <w:sz w:val="20"/>
          <w:szCs w:val="20"/>
        </w:rPr>
        <w:t>Le</w:t>
      </w:r>
      <w:r w:rsidR="00475592" w:rsidRPr="00AD7454">
        <w:rPr>
          <w:rFonts w:ascii="Tahoma" w:hAnsi="Tahoma" w:cs="Tahoma"/>
          <w:sz w:val="20"/>
          <w:szCs w:val="20"/>
        </w:rPr>
        <w:t>e Lawrence (</w:t>
      </w:r>
      <w:r w:rsidRPr="00AD7454">
        <w:rPr>
          <w:rFonts w:ascii="Tahoma" w:hAnsi="Tahoma" w:cs="Tahoma"/>
          <w:sz w:val="20"/>
          <w:szCs w:val="20"/>
        </w:rPr>
        <w:t xml:space="preserve">Quality </w:t>
      </w:r>
      <w:r w:rsidR="00D46D7A" w:rsidRPr="00AD7454">
        <w:rPr>
          <w:rFonts w:ascii="Tahoma" w:hAnsi="Tahoma" w:cs="Tahoma"/>
          <w:sz w:val="20"/>
          <w:szCs w:val="20"/>
        </w:rPr>
        <w:t>Office)</w:t>
      </w:r>
    </w:p>
    <w:sectPr w:rsidR="00AC4FB9" w:rsidRPr="00875D8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F3" w:rsidRDefault="00E716F3" w:rsidP="00E716F3">
      <w:pPr>
        <w:spacing w:after="0" w:line="240" w:lineRule="auto"/>
      </w:pPr>
      <w:r>
        <w:separator/>
      </w:r>
    </w:p>
  </w:endnote>
  <w:endnote w:type="continuationSeparator" w:id="0">
    <w:p w:rsidR="00E716F3" w:rsidRDefault="00E716F3" w:rsidP="00E7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312917666"/>
      <w:docPartObj>
        <w:docPartGallery w:val="Page Numbers (Bottom of Page)"/>
        <w:docPartUnique/>
      </w:docPartObj>
    </w:sdtPr>
    <w:sdtEndPr/>
    <w:sdtContent>
      <w:sdt>
        <w:sdtPr>
          <w:rPr>
            <w:rFonts w:ascii="Tahoma" w:hAnsi="Tahoma" w:cs="Tahoma"/>
            <w:sz w:val="18"/>
            <w:szCs w:val="18"/>
          </w:rPr>
          <w:id w:val="860082579"/>
          <w:docPartObj>
            <w:docPartGallery w:val="Page Numbers (Top of Page)"/>
            <w:docPartUnique/>
          </w:docPartObj>
        </w:sdtPr>
        <w:sdtEndPr/>
        <w:sdtContent>
          <w:p w:rsidR="00E716F3" w:rsidRPr="00D02448" w:rsidRDefault="000F59C5" w:rsidP="00E716F3">
            <w:pPr>
              <w:pStyle w:val="Footer"/>
              <w:rPr>
                <w:rFonts w:ascii="Tahoma" w:hAnsi="Tahoma" w:cs="Tahoma"/>
                <w:sz w:val="18"/>
                <w:szCs w:val="18"/>
              </w:rPr>
            </w:pPr>
            <w:r w:rsidRPr="00D02448">
              <w:rPr>
                <w:rFonts w:ascii="Tahoma" w:hAnsi="Tahoma" w:cs="Tahoma"/>
                <w:sz w:val="18"/>
                <w:szCs w:val="18"/>
              </w:rPr>
              <w:t>Terms of Reference 2019</w:t>
            </w:r>
            <w:r w:rsidR="00507BB5">
              <w:rPr>
                <w:rFonts w:ascii="Tahoma" w:hAnsi="Tahoma" w:cs="Tahoma"/>
                <w:sz w:val="18"/>
                <w:szCs w:val="18"/>
              </w:rPr>
              <w:t>/</w:t>
            </w:r>
            <w:r w:rsidRPr="00D02448">
              <w:rPr>
                <w:rFonts w:ascii="Tahoma" w:hAnsi="Tahoma" w:cs="Tahoma"/>
                <w:sz w:val="18"/>
                <w:szCs w:val="18"/>
              </w:rPr>
              <w:t>20</w:t>
            </w:r>
            <w:r w:rsidR="00507BB5">
              <w:rPr>
                <w:rFonts w:ascii="Tahoma" w:hAnsi="Tahoma" w:cs="Tahoma"/>
                <w:sz w:val="18"/>
                <w:szCs w:val="18"/>
              </w:rPr>
              <w:t xml:space="preserve"> – Equality and Diversity Committee</w:t>
            </w:r>
            <w:r w:rsidR="00E716F3" w:rsidRPr="00D02448">
              <w:rPr>
                <w:rFonts w:ascii="Tahoma" w:hAnsi="Tahoma" w:cs="Tahoma"/>
                <w:sz w:val="18"/>
                <w:szCs w:val="18"/>
              </w:rPr>
              <w:tab/>
              <w:t xml:space="preserve">Page </w:t>
            </w:r>
            <w:r w:rsidR="00E716F3" w:rsidRPr="00D02448">
              <w:rPr>
                <w:rFonts w:ascii="Tahoma" w:hAnsi="Tahoma" w:cs="Tahoma"/>
                <w:bCs/>
                <w:sz w:val="18"/>
                <w:szCs w:val="18"/>
              </w:rPr>
              <w:fldChar w:fldCharType="begin"/>
            </w:r>
            <w:r w:rsidR="00E716F3" w:rsidRPr="00D02448">
              <w:rPr>
                <w:rFonts w:ascii="Tahoma" w:hAnsi="Tahoma" w:cs="Tahoma"/>
                <w:bCs/>
                <w:sz w:val="18"/>
                <w:szCs w:val="18"/>
              </w:rPr>
              <w:instrText xml:space="preserve"> PAGE </w:instrText>
            </w:r>
            <w:r w:rsidR="00E716F3" w:rsidRPr="00D02448">
              <w:rPr>
                <w:rFonts w:ascii="Tahoma" w:hAnsi="Tahoma" w:cs="Tahoma"/>
                <w:bCs/>
                <w:sz w:val="18"/>
                <w:szCs w:val="18"/>
              </w:rPr>
              <w:fldChar w:fldCharType="separate"/>
            </w:r>
            <w:r w:rsidR="00507BB5">
              <w:rPr>
                <w:rFonts w:ascii="Tahoma" w:hAnsi="Tahoma" w:cs="Tahoma"/>
                <w:bCs/>
                <w:noProof/>
                <w:sz w:val="18"/>
                <w:szCs w:val="18"/>
              </w:rPr>
              <w:t>2</w:t>
            </w:r>
            <w:r w:rsidR="00E716F3" w:rsidRPr="00D02448">
              <w:rPr>
                <w:rFonts w:ascii="Tahoma" w:hAnsi="Tahoma" w:cs="Tahoma"/>
                <w:bCs/>
                <w:sz w:val="18"/>
                <w:szCs w:val="18"/>
              </w:rPr>
              <w:fldChar w:fldCharType="end"/>
            </w:r>
            <w:r w:rsidR="00E716F3" w:rsidRPr="00D02448">
              <w:rPr>
                <w:rFonts w:ascii="Tahoma" w:hAnsi="Tahoma" w:cs="Tahoma"/>
                <w:sz w:val="18"/>
                <w:szCs w:val="18"/>
              </w:rPr>
              <w:t xml:space="preserve"> of </w:t>
            </w:r>
            <w:r w:rsidR="00E716F3" w:rsidRPr="00D02448">
              <w:rPr>
                <w:rFonts w:ascii="Tahoma" w:hAnsi="Tahoma" w:cs="Tahoma"/>
                <w:bCs/>
                <w:sz w:val="18"/>
                <w:szCs w:val="18"/>
              </w:rPr>
              <w:fldChar w:fldCharType="begin"/>
            </w:r>
            <w:r w:rsidR="00E716F3" w:rsidRPr="00D02448">
              <w:rPr>
                <w:rFonts w:ascii="Tahoma" w:hAnsi="Tahoma" w:cs="Tahoma"/>
                <w:bCs/>
                <w:sz w:val="18"/>
                <w:szCs w:val="18"/>
              </w:rPr>
              <w:instrText xml:space="preserve"> NUMPAGES  </w:instrText>
            </w:r>
            <w:r w:rsidR="00E716F3" w:rsidRPr="00D02448">
              <w:rPr>
                <w:rFonts w:ascii="Tahoma" w:hAnsi="Tahoma" w:cs="Tahoma"/>
                <w:bCs/>
                <w:sz w:val="18"/>
                <w:szCs w:val="18"/>
              </w:rPr>
              <w:fldChar w:fldCharType="separate"/>
            </w:r>
            <w:r w:rsidR="00507BB5">
              <w:rPr>
                <w:rFonts w:ascii="Tahoma" w:hAnsi="Tahoma" w:cs="Tahoma"/>
                <w:bCs/>
                <w:noProof/>
                <w:sz w:val="18"/>
                <w:szCs w:val="18"/>
              </w:rPr>
              <w:t>3</w:t>
            </w:r>
            <w:r w:rsidR="00E716F3" w:rsidRPr="00D02448">
              <w:rPr>
                <w:rFonts w:ascii="Tahoma" w:hAnsi="Tahoma" w:cs="Tahom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F3" w:rsidRDefault="00E716F3" w:rsidP="00E716F3">
      <w:pPr>
        <w:spacing w:after="0" w:line="240" w:lineRule="auto"/>
      </w:pPr>
      <w:r>
        <w:separator/>
      </w:r>
    </w:p>
  </w:footnote>
  <w:footnote w:type="continuationSeparator" w:id="0">
    <w:p w:rsidR="00E716F3" w:rsidRDefault="00E716F3" w:rsidP="00E71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11E5B"/>
    <w:multiLevelType w:val="multilevel"/>
    <w:tmpl w:val="E1F862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88"/>
    <w:rsid w:val="000F59C5"/>
    <w:rsid w:val="0012626A"/>
    <w:rsid w:val="001418EE"/>
    <w:rsid w:val="001E7C0B"/>
    <w:rsid w:val="00291192"/>
    <w:rsid w:val="002E2EE6"/>
    <w:rsid w:val="0030126D"/>
    <w:rsid w:val="00357BBA"/>
    <w:rsid w:val="00372504"/>
    <w:rsid w:val="003D1041"/>
    <w:rsid w:val="00463B20"/>
    <w:rsid w:val="00475592"/>
    <w:rsid w:val="0049746B"/>
    <w:rsid w:val="004B13FE"/>
    <w:rsid w:val="00507BB5"/>
    <w:rsid w:val="005450B2"/>
    <w:rsid w:val="00636A09"/>
    <w:rsid w:val="006A226E"/>
    <w:rsid w:val="007754E7"/>
    <w:rsid w:val="00837F09"/>
    <w:rsid w:val="00875D88"/>
    <w:rsid w:val="0090731B"/>
    <w:rsid w:val="00907994"/>
    <w:rsid w:val="0095149B"/>
    <w:rsid w:val="00A5064F"/>
    <w:rsid w:val="00AC4FB9"/>
    <w:rsid w:val="00AD7454"/>
    <w:rsid w:val="00AE7AF4"/>
    <w:rsid w:val="00C4470A"/>
    <w:rsid w:val="00C76054"/>
    <w:rsid w:val="00D02448"/>
    <w:rsid w:val="00D46D7A"/>
    <w:rsid w:val="00E716F3"/>
    <w:rsid w:val="00E72A47"/>
    <w:rsid w:val="00FA4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FBDE"/>
  <w15:docId w15:val="{2E974075-87E2-4744-9C63-382E8294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D88"/>
    <w:pPr>
      <w:ind w:left="720"/>
      <w:contextualSpacing/>
    </w:pPr>
  </w:style>
  <w:style w:type="character" w:styleId="Hyperlink">
    <w:name w:val="Hyperlink"/>
    <w:basedOn w:val="DefaultParagraphFont"/>
    <w:uiPriority w:val="99"/>
    <w:unhideWhenUsed/>
    <w:rsid w:val="00E72A47"/>
    <w:rPr>
      <w:color w:val="0000FF" w:themeColor="hyperlink"/>
      <w:u w:val="single"/>
    </w:rPr>
  </w:style>
  <w:style w:type="table" w:styleId="TableGrid">
    <w:name w:val="Table Grid"/>
    <w:basedOn w:val="TableNormal"/>
    <w:uiPriority w:val="59"/>
    <w:rsid w:val="004B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6F3"/>
  </w:style>
  <w:style w:type="paragraph" w:styleId="Footer">
    <w:name w:val="footer"/>
    <w:basedOn w:val="Normal"/>
    <w:link w:val="FooterChar"/>
    <w:uiPriority w:val="99"/>
    <w:unhideWhenUsed/>
    <w:rsid w:val="00E71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6F3"/>
  </w:style>
  <w:style w:type="character" w:styleId="CommentReference">
    <w:name w:val="annotation reference"/>
    <w:basedOn w:val="DefaultParagraphFont"/>
    <w:uiPriority w:val="99"/>
    <w:semiHidden/>
    <w:unhideWhenUsed/>
    <w:rsid w:val="001E7C0B"/>
    <w:rPr>
      <w:sz w:val="16"/>
      <w:szCs w:val="16"/>
    </w:rPr>
  </w:style>
  <w:style w:type="paragraph" w:styleId="CommentText">
    <w:name w:val="annotation text"/>
    <w:basedOn w:val="Normal"/>
    <w:link w:val="CommentTextChar"/>
    <w:uiPriority w:val="99"/>
    <w:semiHidden/>
    <w:unhideWhenUsed/>
    <w:rsid w:val="001E7C0B"/>
    <w:pPr>
      <w:spacing w:line="240" w:lineRule="auto"/>
    </w:pPr>
    <w:rPr>
      <w:sz w:val="20"/>
      <w:szCs w:val="20"/>
    </w:rPr>
  </w:style>
  <w:style w:type="character" w:customStyle="1" w:styleId="CommentTextChar">
    <w:name w:val="Comment Text Char"/>
    <w:basedOn w:val="DefaultParagraphFont"/>
    <w:link w:val="CommentText"/>
    <w:uiPriority w:val="99"/>
    <w:semiHidden/>
    <w:rsid w:val="001E7C0B"/>
    <w:rPr>
      <w:sz w:val="20"/>
      <w:szCs w:val="20"/>
    </w:rPr>
  </w:style>
  <w:style w:type="paragraph" w:styleId="CommentSubject">
    <w:name w:val="annotation subject"/>
    <w:basedOn w:val="CommentText"/>
    <w:next w:val="CommentText"/>
    <w:link w:val="CommentSubjectChar"/>
    <w:uiPriority w:val="99"/>
    <w:semiHidden/>
    <w:unhideWhenUsed/>
    <w:rsid w:val="001E7C0B"/>
    <w:rPr>
      <w:b/>
      <w:bCs/>
    </w:rPr>
  </w:style>
  <w:style w:type="character" w:customStyle="1" w:styleId="CommentSubjectChar">
    <w:name w:val="Comment Subject Char"/>
    <w:basedOn w:val="CommentTextChar"/>
    <w:link w:val="CommentSubject"/>
    <w:uiPriority w:val="99"/>
    <w:semiHidden/>
    <w:rsid w:val="001E7C0B"/>
    <w:rPr>
      <w:b/>
      <w:bCs/>
      <w:sz w:val="20"/>
      <w:szCs w:val="20"/>
    </w:rPr>
  </w:style>
  <w:style w:type="paragraph" w:styleId="BalloonText">
    <w:name w:val="Balloon Text"/>
    <w:basedOn w:val="Normal"/>
    <w:link w:val="BalloonTextChar"/>
    <w:uiPriority w:val="99"/>
    <w:semiHidden/>
    <w:unhideWhenUsed/>
    <w:rsid w:val="001E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786">
      <w:bodyDiv w:val="1"/>
      <w:marLeft w:val="0"/>
      <w:marRight w:val="0"/>
      <w:marTop w:val="0"/>
      <w:marBottom w:val="0"/>
      <w:divBdr>
        <w:top w:val="none" w:sz="0" w:space="0" w:color="auto"/>
        <w:left w:val="none" w:sz="0" w:space="0" w:color="auto"/>
        <w:bottom w:val="none" w:sz="0" w:space="0" w:color="auto"/>
        <w:right w:val="none" w:sz="0" w:space="0" w:color="auto"/>
      </w:divBdr>
    </w:div>
    <w:div w:id="100532519">
      <w:bodyDiv w:val="1"/>
      <w:marLeft w:val="0"/>
      <w:marRight w:val="0"/>
      <w:marTop w:val="0"/>
      <w:marBottom w:val="0"/>
      <w:divBdr>
        <w:top w:val="none" w:sz="0" w:space="0" w:color="auto"/>
        <w:left w:val="none" w:sz="0" w:space="0" w:color="auto"/>
        <w:bottom w:val="none" w:sz="0" w:space="0" w:color="auto"/>
        <w:right w:val="none" w:sz="0" w:space="0" w:color="auto"/>
      </w:divBdr>
    </w:div>
    <w:div w:id="112486483">
      <w:bodyDiv w:val="1"/>
      <w:marLeft w:val="0"/>
      <w:marRight w:val="0"/>
      <w:marTop w:val="0"/>
      <w:marBottom w:val="0"/>
      <w:divBdr>
        <w:top w:val="none" w:sz="0" w:space="0" w:color="auto"/>
        <w:left w:val="none" w:sz="0" w:space="0" w:color="auto"/>
        <w:bottom w:val="none" w:sz="0" w:space="0" w:color="auto"/>
        <w:right w:val="none" w:sz="0" w:space="0" w:color="auto"/>
      </w:divBdr>
    </w:div>
    <w:div w:id="245454512">
      <w:bodyDiv w:val="1"/>
      <w:marLeft w:val="0"/>
      <w:marRight w:val="0"/>
      <w:marTop w:val="0"/>
      <w:marBottom w:val="0"/>
      <w:divBdr>
        <w:top w:val="none" w:sz="0" w:space="0" w:color="auto"/>
        <w:left w:val="none" w:sz="0" w:space="0" w:color="auto"/>
        <w:bottom w:val="none" w:sz="0" w:space="0" w:color="auto"/>
        <w:right w:val="none" w:sz="0" w:space="0" w:color="auto"/>
      </w:divBdr>
    </w:div>
    <w:div w:id="376902963">
      <w:bodyDiv w:val="1"/>
      <w:marLeft w:val="0"/>
      <w:marRight w:val="0"/>
      <w:marTop w:val="0"/>
      <w:marBottom w:val="0"/>
      <w:divBdr>
        <w:top w:val="none" w:sz="0" w:space="0" w:color="auto"/>
        <w:left w:val="none" w:sz="0" w:space="0" w:color="auto"/>
        <w:bottom w:val="none" w:sz="0" w:space="0" w:color="auto"/>
        <w:right w:val="none" w:sz="0" w:space="0" w:color="auto"/>
      </w:divBdr>
    </w:div>
    <w:div w:id="603417279">
      <w:bodyDiv w:val="1"/>
      <w:marLeft w:val="0"/>
      <w:marRight w:val="0"/>
      <w:marTop w:val="0"/>
      <w:marBottom w:val="0"/>
      <w:divBdr>
        <w:top w:val="none" w:sz="0" w:space="0" w:color="auto"/>
        <w:left w:val="none" w:sz="0" w:space="0" w:color="auto"/>
        <w:bottom w:val="none" w:sz="0" w:space="0" w:color="auto"/>
        <w:right w:val="none" w:sz="0" w:space="0" w:color="auto"/>
      </w:divBdr>
    </w:div>
    <w:div w:id="659574566">
      <w:bodyDiv w:val="1"/>
      <w:marLeft w:val="0"/>
      <w:marRight w:val="0"/>
      <w:marTop w:val="0"/>
      <w:marBottom w:val="0"/>
      <w:divBdr>
        <w:top w:val="none" w:sz="0" w:space="0" w:color="auto"/>
        <w:left w:val="none" w:sz="0" w:space="0" w:color="auto"/>
        <w:bottom w:val="none" w:sz="0" w:space="0" w:color="auto"/>
        <w:right w:val="none" w:sz="0" w:space="0" w:color="auto"/>
      </w:divBdr>
    </w:div>
    <w:div w:id="695736334">
      <w:bodyDiv w:val="1"/>
      <w:marLeft w:val="0"/>
      <w:marRight w:val="0"/>
      <w:marTop w:val="0"/>
      <w:marBottom w:val="0"/>
      <w:divBdr>
        <w:top w:val="none" w:sz="0" w:space="0" w:color="auto"/>
        <w:left w:val="none" w:sz="0" w:space="0" w:color="auto"/>
        <w:bottom w:val="none" w:sz="0" w:space="0" w:color="auto"/>
        <w:right w:val="none" w:sz="0" w:space="0" w:color="auto"/>
      </w:divBdr>
    </w:div>
    <w:div w:id="718895160">
      <w:bodyDiv w:val="1"/>
      <w:marLeft w:val="0"/>
      <w:marRight w:val="0"/>
      <w:marTop w:val="0"/>
      <w:marBottom w:val="0"/>
      <w:divBdr>
        <w:top w:val="none" w:sz="0" w:space="0" w:color="auto"/>
        <w:left w:val="none" w:sz="0" w:space="0" w:color="auto"/>
        <w:bottom w:val="none" w:sz="0" w:space="0" w:color="auto"/>
        <w:right w:val="none" w:sz="0" w:space="0" w:color="auto"/>
      </w:divBdr>
    </w:div>
    <w:div w:id="746341976">
      <w:bodyDiv w:val="1"/>
      <w:marLeft w:val="0"/>
      <w:marRight w:val="0"/>
      <w:marTop w:val="0"/>
      <w:marBottom w:val="0"/>
      <w:divBdr>
        <w:top w:val="none" w:sz="0" w:space="0" w:color="auto"/>
        <w:left w:val="none" w:sz="0" w:space="0" w:color="auto"/>
        <w:bottom w:val="none" w:sz="0" w:space="0" w:color="auto"/>
        <w:right w:val="none" w:sz="0" w:space="0" w:color="auto"/>
      </w:divBdr>
    </w:div>
    <w:div w:id="798963117">
      <w:bodyDiv w:val="1"/>
      <w:marLeft w:val="0"/>
      <w:marRight w:val="0"/>
      <w:marTop w:val="0"/>
      <w:marBottom w:val="0"/>
      <w:divBdr>
        <w:top w:val="none" w:sz="0" w:space="0" w:color="auto"/>
        <w:left w:val="none" w:sz="0" w:space="0" w:color="auto"/>
        <w:bottom w:val="none" w:sz="0" w:space="0" w:color="auto"/>
        <w:right w:val="none" w:sz="0" w:space="0" w:color="auto"/>
      </w:divBdr>
    </w:div>
    <w:div w:id="834952003">
      <w:bodyDiv w:val="1"/>
      <w:marLeft w:val="0"/>
      <w:marRight w:val="0"/>
      <w:marTop w:val="0"/>
      <w:marBottom w:val="0"/>
      <w:divBdr>
        <w:top w:val="none" w:sz="0" w:space="0" w:color="auto"/>
        <w:left w:val="none" w:sz="0" w:space="0" w:color="auto"/>
        <w:bottom w:val="none" w:sz="0" w:space="0" w:color="auto"/>
        <w:right w:val="none" w:sz="0" w:space="0" w:color="auto"/>
      </w:divBdr>
    </w:div>
    <w:div w:id="850415741">
      <w:bodyDiv w:val="1"/>
      <w:marLeft w:val="0"/>
      <w:marRight w:val="0"/>
      <w:marTop w:val="0"/>
      <w:marBottom w:val="0"/>
      <w:divBdr>
        <w:top w:val="none" w:sz="0" w:space="0" w:color="auto"/>
        <w:left w:val="none" w:sz="0" w:space="0" w:color="auto"/>
        <w:bottom w:val="none" w:sz="0" w:space="0" w:color="auto"/>
        <w:right w:val="none" w:sz="0" w:space="0" w:color="auto"/>
      </w:divBdr>
    </w:div>
    <w:div w:id="862404432">
      <w:bodyDiv w:val="1"/>
      <w:marLeft w:val="0"/>
      <w:marRight w:val="0"/>
      <w:marTop w:val="0"/>
      <w:marBottom w:val="0"/>
      <w:divBdr>
        <w:top w:val="none" w:sz="0" w:space="0" w:color="auto"/>
        <w:left w:val="none" w:sz="0" w:space="0" w:color="auto"/>
        <w:bottom w:val="none" w:sz="0" w:space="0" w:color="auto"/>
        <w:right w:val="none" w:sz="0" w:space="0" w:color="auto"/>
      </w:divBdr>
    </w:div>
    <w:div w:id="1062871773">
      <w:bodyDiv w:val="1"/>
      <w:marLeft w:val="0"/>
      <w:marRight w:val="0"/>
      <w:marTop w:val="0"/>
      <w:marBottom w:val="0"/>
      <w:divBdr>
        <w:top w:val="none" w:sz="0" w:space="0" w:color="auto"/>
        <w:left w:val="none" w:sz="0" w:space="0" w:color="auto"/>
        <w:bottom w:val="none" w:sz="0" w:space="0" w:color="auto"/>
        <w:right w:val="none" w:sz="0" w:space="0" w:color="auto"/>
      </w:divBdr>
    </w:div>
    <w:div w:id="1070690398">
      <w:bodyDiv w:val="1"/>
      <w:marLeft w:val="0"/>
      <w:marRight w:val="0"/>
      <w:marTop w:val="0"/>
      <w:marBottom w:val="0"/>
      <w:divBdr>
        <w:top w:val="none" w:sz="0" w:space="0" w:color="auto"/>
        <w:left w:val="none" w:sz="0" w:space="0" w:color="auto"/>
        <w:bottom w:val="none" w:sz="0" w:space="0" w:color="auto"/>
        <w:right w:val="none" w:sz="0" w:space="0" w:color="auto"/>
      </w:divBdr>
    </w:div>
    <w:div w:id="1094205021">
      <w:bodyDiv w:val="1"/>
      <w:marLeft w:val="0"/>
      <w:marRight w:val="0"/>
      <w:marTop w:val="0"/>
      <w:marBottom w:val="0"/>
      <w:divBdr>
        <w:top w:val="none" w:sz="0" w:space="0" w:color="auto"/>
        <w:left w:val="none" w:sz="0" w:space="0" w:color="auto"/>
        <w:bottom w:val="none" w:sz="0" w:space="0" w:color="auto"/>
        <w:right w:val="none" w:sz="0" w:space="0" w:color="auto"/>
      </w:divBdr>
    </w:div>
    <w:div w:id="1130824163">
      <w:bodyDiv w:val="1"/>
      <w:marLeft w:val="0"/>
      <w:marRight w:val="0"/>
      <w:marTop w:val="0"/>
      <w:marBottom w:val="0"/>
      <w:divBdr>
        <w:top w:val="none" w:sz="0" w:space="0" w:color="auto"/>
        <w:left w:val="none" w:sz="0" w:space="0" w:color="auto"/>
        <w:bottom w:val="none" w:sz="0" w:space="0" w:color="auto"/>
        <w:right w:val="none" w:sz="0" w:space="0" w:color="auto"/>
      </w:divBdr>
    </w:div>
    <w:div w:id="1131707810">
      <w:bodyDiv w:val="1"/>
      <w:marLeft w:val="0"/>
      <w:marRight w:val="0"/>
      <w:marTop w:val="0"/>
      <w:marBottom w:val="0"/>
      <w:divBdr>
        <w:top w:val="none" w:sz="0" w:space="0" w:color="auto"/>
        <w:left w:val="none" w:sz="0" w:space="0" w:color="auto"/>
        <w:bottom w:val="none" w:sz="0" w:space="0" w:color="auto"/>
        <w:right w:val="none" w:sz="0" w:space="0" w:color="auto"/>
      </w:divBdr>
    </w:div>
    <w:div w:id="1235626272">
      <w:bodyDiv w:val="1"/>
      <w:marLeft w:val="0"/>
      <w:marRight w:val="0"/>
      <w:marTop w:val="0"/>
      <w:marBottom w:val="0"/>
      <w:divBdr>
        <w:top w:val="none" w:sz="0" w:space="0" w:color="auto"/>
        <w:left w:val="none" w:sz="0" w:space="0" w:color="auto"/>
        <w:bottom w:val="none" w:sz="0" w:space="0" w:color="auto"/>
        <w:right w:val="none" w:sz="0" w:space="0" w:color="auto"/>
      </w:divBdr>
    </w:div>
    <w:div w:id="1285650074">
      <w:bodyDiv w:val="1"/>
      <w:marLeft w:val="0"/>
      <w:marRight w:val="0"/>
      <w:marTop w:val="0"/>
      <w:marBottom w:val="0"/>
      <w:divBdr>
        <w:top w:val="none" w:sz="0" w:space="0" w:color="auto"/>
        <w:left w:val="none" w:sz="0" w:space="0" w:color="auto"/>
        <w:bottom w:val="none" w:sz="0" w:space="0" w:color="auto"/>
        <w:right w:val="none" w:sz="0" w:space="0" w:color="auto"/>
      </w:divBdr>
    </w:div>
    <w:div w:id="1322388643">
      <w:bodyDiv w:val="1"/>
      <w:marLeft w:val="0"/>
      <w:marRight w:val="0"/>
      <w:marTop w:val="0"/>
      <w:marBottom w:val="0"/>
      <w:divBdr>
        <w:top w:val="none" w:sz="0" w:space="0" w:color="auto"/>
        <w:left w:val="none" w:sz="0" w:space="0" w:color="auto"/>
        <w:bottom w:val="none" w:sz="0" w:space="0" w:color="auto"/>
        <w:right w:val="none" w:sz="0" w:space="0" w:color="auto"/>
      </w:divBdr>
    </w:div>
    <w:div w:id="1353262118">
      <w:bodyDiv w:val="1"/>
      <w:marLeft w:val="0"/>
      <w:marRight w:val="0"/>
      <w:marTop w:val="0"/>
      <w:marBottom w:val="0"/>
      <w:divBdr>
        <w:top w:val="none" w:sz="0" w:space="0" w:color="auto"/>
        <w:left w:val="none" w:sz="0" w:space="0" w:color="auto"/>
        <w:bottom w:val="none" w:sz="0" w:space="0" w:color="auto"/>
        <w:right w:val="none" w:sz="0" w:space="0" w:color="auto"/>
      </w:divBdr>
    </w:div>
    <w:div w:id="1354696423">
      <w:bodyDiv w:val="1"/>
      <w:marLeft w:val="0"/>
      <w:marRight w:val="0"/>
      <w:marTop w:val="0"/>
      <w:marBottom w:val="0"/>
      <w:divBdr>
        <w:top w:val="none" w:sz="0" w:space="0" w:color="auto"/>
        <w:left w:val="none" w:sz="0" w:space="0" w:color="auto"/>
        <w:bottom w:val="none" w:sz="0" w:space="0" w:color="auto"/>
        <w:right w:val="none" w:sz="0" w:space="0" w:color="auto"/>
      </w:divBdr>
    </w:div>
    <w:div w:id="1419449933">
      <w:bodyDiv w:val="1"/>
      <w:marLeft w:val="0"/>
      <w:marRight w:val="0"/>
      <w:marTop w:val="0"/>
      <w:marBottom w:val="0"/>
      <w:divBdr>
        <w:top w:val="none" w:sz="0" w:space="0" w:color="auto"/>
        <w:left w:val="none" w:sz="0" w:space="0" w:color="auto"/>
        <w:bottom w:val="none" w:sz="0" w:space="0" w:color="auto"/>
        <w:right w:val="none" w:sz="0" w:space="0" w:color="auto"/>
      </w:divBdr>
    </w:div>
    <w:div w:id="1429303582">
      <w:bodyDiv w:val="1"/>
      <w:marLeft w:val="0"/>
      <w:marRight w:val="0"/>
      <w:marTop w:val="0"/>
      <w:marBottom w:val="0"/>
      <w:divBdr>
        <w:top w:val="none" w:sz="0" w:space="0" w:color="auto"/>
        <w:left w:val="none" w:sz="0" w:space="0" w:color="auto"/>
        <w:bottom w:val="none" w:sz="0" w:space="0" w:color="auto"/>
        <w:right w:val="none" w:sz="0" w:space="0" w:color="auto"/>
      </w:divBdr>
    </w:div>
    <w:div w:id="1546329245">
      <w:bodyDiv w:val="1"/>
      <w:marLeft w:val="0"/>
      <w:marRight w:val="0"/>
      <w:marTop w:val="0"/>
      <w:marBottom w:val="0"/>
      <w:divBdr>
        <w:top w:val="none" w:sz="0" w:space="0" w:color="auto"/>
        <w:left w:val="none" w:sz="0" w:space="0" w:color="auto"/>
        <w:bottom w:val="none" w:sz="0" w:space="0" w:color="auto"/>
        <w:right w:val="none" w:sz="0" w:space="0" w:color="auto"/>
      </w:divBdr>
    </w:div>
    <w:div w:id="1646011252">
      <w:bodyDiv w:val="1"/>
      <w:marLeft w:val="0"/>
      <w:marRight w:val="0"/>
      <w:marTop w:val="0"/>
      <w:marBottom w:val="0"/>
      <w:divBdr>
        <w:top w:val="none" w:sz="0" w:space="0" w:color="auto"/>
        <w:left w:val="none" w:sz="0" w:space="0" w:color="auto"/>
        <w:bottom w:val="none" w:sz="0" w:space="0" w:color="auto"/>
        <w:right w:val="none" w:sz="0" w:space="0" w:color="auto"/>
      </w:divBdr>
    </w:div>
    <w:div w:id="1701936199">
      <w:bodyDiv w:val="1"/>
      <w:marLeft w:val="0"/>
      <w:marRight w:val="0"/>
      <w:marTop w:val="0"/>
      <w:marBottom w:val="0"/>
      <w:divBdr>
        <w:top w:val="none" w:sz="0" w:space="0" w:color="auto"/>
        <w:left w:val="none" w:sz="0" w:space="0" w:color="auto"/>
        <w:bottom w:val="none" w:sz="0" w:space="0" w:color="auto"/>
        <w:right w:val="none" w:sz="0" w:space="0" w:color="auto"/>
      </w:divBdr>
    </w:div>
    <w:div w:id="1819808876">
      <w:bodyDiv w:val="1"/>
      <w:marLeft w:val="0"/>
      <w:marRight w:val="0"/>
      <w:marTop w:val="0"/>
      <w:marBottom w:val="0"/>
      <w:divBdr>
        <w:top w:val="none" w:sz="0" w:space="0" w:color="auto"/>
        <w:left w:val="none" w:sz="0" w:space="0" w:color="auto"/>
        <w:bottom w:val="none" w:sz="0" w:space="0" w:color="auto"/>
        <w:right w:val="none" w:sz="0" w:space="0" w:color="auto"/>
      </w:divBdr>
    </w:div>
    <w:div w:id="1918514403">
      <w:bodyDiv w:val="1"/>
      <w:marLeft w:val="0"/>
      <w:marRight w:val="0"/>
      <w:marTop w:val="0"/>
      <w:marBottom w:val="0"/>
      <w:divBdr>
        <w:top w:val="none" w:sz="0" w:space="0" w:color="auto"/>
        <w:left w:val="none" w:sz="0" w:space="0" w:color="auto"/>
        <w:bottom w:val="none" w:sz="0" w:space="0" w:color="auto"/>
        <w:right w:val="none" w:sz="0" w:space="0" w:color="auto"/>
      </w:divBdr>
    </w:div>
    <w:div w:id="1920669713">
      <w:bodyDiv w:val="1"/>
      <w:marLeft w:val="0"/>
      <w:marRight w:val="0"/>
      <w:marTop w:val="0"/>
      <w:marBottom w:val="0"/>
      <w:divBdr>
        <w:top w:val="none" w:sz="0" w:space="0" w:color="auto"/>
        <w:left w:val="none" w:sz="0" w:space="0" w:color="auto"/>
        <w:bottom w:val="none" w:sz="0" w:space="0" w:color="auto"/>
        <w:right w:val="none" w:sz="0" w:space="0" w:color="auto"/>
      </w:divBdr>
    </w:div>
    <w:div w:id="1954168104">
      <w:bodyDiv w:val="1"/>
      <w:marLeft w:val="0"/>
      <w:marRight w:val="0"/>
      <w:marTop w:val="0"/>
      <w:marBottom w:val="0"/>
      <w:divBdr>
        <w:top w:val="none" w:sz="0" w:space="0" w:color="auto"/>
        <w:left w:val="none" w:sz="0" w:space="0" w:color="auto"/>
        <w:bottom w:val="none" w:sz="0" w:space="0" w:color="auto"/>
        <w:right w:val="none" w:sz="0" w:space="0" w:color="auto"/>
      </w:divBdr>
    </w:div>
    <w:div w:id="2054690657">
      <w:bodyDiv w:val="1"/>
      <w:marLeft w:val="0"/>
      <w:marRight w:val="0"/>
      <w:marTop w:val="0"/>
      <w:marBottom w:val="0"/>
      <w:divBdr>
        <w:top w:val="none" w:sz="0" w:space="0" w:color="auto"/>
        <w:left w:val="none" w:sz="0" w:space="0" w:color="auto"/>
        <w:bottom w:val="none" w:sz="0" w:space="0" w:color="auto"/>
        <w:right w:val="none" w:sz="0" w:space="0" w:color="auto"/>
      </w:divBdr>
    </w:div>
    <w:div w:id="21094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fficeforstudents.org.uk/advice-and-guidance/regulation/conditions-of-registration/initial-and-general-ongoing-conditions-of-registration/" TargetMode="External"/><Relationship Id="rId4" Type="http://schemas.openxmlformats.org/officeDocument/2006/relationships/settings" Target="settings.xml"/><Relationship Id="rId9" Type="http://schemas.openxmlformats.org/officeDocument/2006/relationships/hyperlink" Target="https://www.officeforstudents.org.uk/advice-and-guidance/regulation/conditions-of-registration/initial-and-general-ongoing-conditions-of-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B31A-6D94-4094-8DCC-DC5FCC4B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Lawrence</dc:creator>
  <cp:lastModifiedBy>Jennifer Perkins</cp:lastModifiedBy>
  <cp:revision>4</cp:revision>
  <cp:lastPrinted>2019-09-27T08:37:00Z</cp:lastPrinted>
  <dcterms:created xsi:type="dcterms:W3CDTF">2020-01-16T10:50:00Z</dcterms:created>
  <dcterms:modified xsi:type="dcterms:W3CDTF">2020-01-16T13:36:00Z</dcterms:modified>
</cp:coreProperties>
</file>