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B8" w:rsidRDefault="00B854B8">
      <w:pPr>
        <w:rPr>
          <w:rFonts w:ascii="Tahoma" w:hAnsi="Tahoma" w:cs="Tahoma"/>
          <w:sz w:val="28"/>
          <w:szCs w:val="28"/>
          <w:lang w:eastAsia="en-GB"/>
        </w:rPr>
      </w:pPr>
      <w:r w:rsidRPr="00B854B8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1945640" cy="638175"/>
            <wp:effectExtent l="0" t="0" r="0" b="9525"/>
            <wp:docPr id="1" name="Picture 1" descr="\\mercury\staff\DAVI461\Desktop\New Newman University Crest.GIF" title="Newm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rcury\staff\DAVI461\Desktop\New Newman University Cr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B8" w:rsidRPr="00B854B8" w:rsidRDefault="00E966A4" w:rsidP="00B854B8">
      <w:pPr>
        <w:jc w:val="center"/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t>Retention and Success Task Group</w:t>
      </w:r>
    </w:p>
    <w:p w:rsidR="00BE3202" w:rsidRDefault="00BE3202" w:rsidP="00B854B8">
      <w:pPr>
        <w:keepNext/>
        <w:rPr>
          <w:rFonts w:ascii="Tahoma" w:hAnsi="Tahoma" w:cs="Tahoma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763895" cy="1570616"/>
                <wp:effectExtent l="19050" t="19050" r="27305" b="1079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57061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202" w:rsidRPr="00A93142" w:rsidRDefault="00BE3202" w:rsidP="00BE3202">
                            <w:pPr>
                              <w:rPr>
                                <w:rFonts w:ascii="Tahoma" w:eastAsiaTheme="minorEastAsia" w:hAnsi="Tahoma" w:cs="Tahoma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The University’s Committee Structure aims to put the University in a position of strength to deliver the evidence base that will enable us to engage with the </w:t>
                            </w:r>
                            <w:proofErr w:type="spellStart"/>
                            <w:r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OfS</w:t>
                            </w:r>
                            <w:proofErr w:type="spellEnd"/>
                            <w:r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D16C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its </w:t>
                            </w:r>
                            <w:hyperlink r:id="rId9" w:history="1">
                              <w:r w:rsidR="009D16CB" w:rsidRPr="009D16CB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conditions of registration</w:t>
                              </w:r>
                            </w:hyperlink>
                            <w:r w:rsidR="009D16C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3202" w:rsidRPr="00A93142" w:rsidRDefault="00BE3202" w:rsidP="00BE320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Individual Committees are expected to utilise a range of indicators, quantitative and qualitative intelligence and horizon scanning tha</w:t>
                            </w:r>
                            <w:r w:rsidR="004445BE"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 will enable them to monitor</w:t>
                            </w:r>
                            <w:r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review trends and spot (early on) any issues that m</w:t>
                            </w:r>
                            <w:r w:rsidR="004445BE"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A931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 affect compliance.  In doing so, they are empowered to drive and effect changes accordingly.</w:t>
                            </w:r>
                          </w:p>
                          <w:p w:rsidR="00BE3202" w:rsidRDefault="00BE3202" w:rsidP="00BE3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85pt;height:1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" fillcolor="#ffc000" strokecolor="black [3200]" strokeweight="2.25pt">
                <v:textbox>
                  <w:txbxContent>
                    <w:p w:rsidR="00BE3202" w:rsidRPr="00A93142" w:rsidRDefault="00BE3202" w:rsidP="00BE3202">
                      <w:pPr>
                        <w:rPr>
                          <w:rFonts w:ascii="Tahoma" w:eastAsiaTheme="minorEastAsia" w:hAnsi="Tahoma" w:cs="Tahoma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The University’s Committee Structure aims to put the University in a position of strength to deliver the evidence base that will enable us to engage with the </w:t>
                      </w:r>
                      <w:proofErr w:type="spellStart"/>
                      <w:r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OfS</w:t>
                      </w:r>
                      <w:proofErr w:type="spellEnd"/>
                      <w:r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9D16C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its </w:t>
                      </w:r>
                      <w:hyperlink r:id="rId10" w:history="1">
                        <w:r w:rsidR="009D16CB" w:rsidRPr="009D16CB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conditions of registration</w:t>
                        </w:r>
                      </w:hyperlink>
                      <w:r w:rsidR="009D16C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E3202" w:rsidRPr="00A93142" w:rsidRDefault="00BE3202" w:rsidP="00BE320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Individual Committees are expected to utilise a range of indicators, quantitative and qualitative intelligence and horizon scanning tha</w:t>
                      </w:r>
                      <w:r w:rsidR="004445BE"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 will enable them to monitor</w:t>
                      </w:r>
                      <w:r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review trends and spot (early on) any issues that m</w:t>
                      </w:r>
                      <w:r w:rsidR="004445BE"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</w:t>
                      </w:r>
                      <w:r w:rsidRPr="00A931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 affect compliance.  In doing so, they are empowered to drive and effect changes accordingly.</w:t>
                      </w:r>
                    </w:p>
                    <w:p w:rsidR="00BE3202" w:rsidRDefault="00BE3202" w:rsidP="00BE3202"/>
                  </w:txbxContent>
                </v:textbox>
                <w10:anchorlock/>
              </v:shape>
            </w:pict>
          </mc:Fallback>
        </mc:AlternateContent>
      </w:r>
    </w:p>
    <w:p w:rsidR="00B854B8" w:rsidRPr="00BA1A3D" w:rsidRDefault="00A93142" w:rsidP="00B854B8">
      <w:pPr>
        <w:keepNext/>
        <w:rPr>
          <w:rFonts w:ascii="Tahoma" w:hAnsi="Tahoma" w:cs="Tahoma"/>
          <w:sz w:val="20"/>
          <w:szCs w:val="20"/>
          <w:u w:val="single"/>
        </w:rPr>
      </w:pPr>
      <w:r w:rsidRPr="00BA1A3D">
        <w:rPr>
          <w:rFonts w:ascii="Tahoma" w:hAnsi="Tahoma" w:cs="Tahoma"/>
          <w:sz w:val="20"/>
          <w:szCs w:val="20"/>
          <w:u w:val="single"/>
        </w:rPr>
        <w:t>P</w:t>
      </w:r>
      <w:r w:rsidR="00B854B8" w:rsidRPr="00BA1A3D">
        <w:rPr>
          <w:rFonts w:ascii="Tahoma" w:hAnsi="Tahoma" w:cs="Tahoma"/>
          <w:sz w:val="20"/>
          <w:szCs w:val="20"/>
          <w:u w:val="single"/>
        </w:rPr>
        <w:t>urpose and Scope</w:t>
      </w:r>
    </w:p>
    <w:p w:rsidR="00E966A4" w:rsidRPr="00BA1A3D" w:rsidRDefault="00E966A4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The primary purpose of the Retention and Success</w:t>
      </w:r>
      <w:r w:rsidRPr="00BA1A3D">
        <w:rPr>
          <w:rStyle w:val="FootnoteReference"/>
          <w:rFonts w:ascii="Tahoma" w:hAnsi="Tahoma" w:cs="Tahoma"/>
          <w:sz w:val="20"/>
          <w:szCs w:val="20"/>
          <w:lang w:eastAsia="en-GB"/>
        </w:rPr>
        <w:footnoteReference w:id="1"/>
      </w:r>
      <w:r w:rsidRPr="00BA1A3D">
        <w:rPr>
          <w:rFonts w:ascii="Tahoma" w:hAnsi="Tahoma" w:cs="Tahoma"/>
          <w:sz w:val="20"/>
          <w:szCs w:val="20"/>
          <w:lang w:eastAsia="en-GB"/>
        </w:rPr>
        <w:t xml:space="preserve"> Task Group is:</w:t>
      </w:r>
    </w:p>
    <w:p w:rsidR="00E966A4" w:rsidRPr="00BA1A3D" w:rsidRDefault="00E966A4" w:rsidP="00E966A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To identify and implement ways of improving the retention and success of Newman University students.</w:t>
      </w:r>
    </w:p>
    <w:p w:rsidR="00B854B8" w:rsidRPr="00BA1A3D" w:rsidRDefault="00E966A4" w:rsidP="00E966A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To ensure that the University meets its institutional KPIs in relation to student retention and success.</w:t>
      </w:r>
    </w:p>
    <w:p w:rsidR="00B854B8" w:rsidRPr="00BA1A3D" w:rsidRDefault="00B854B8" w:rsidP="00B854B8">
      <w:pPr>
        <w:keepNext/>
        <w:rPr>
          <w:rFonts w:ascii="Tahoma" w:hAnsi="Tahoma" w:cs="Tahoma"/>
          <w:sz w:val="20"/>
          <w:szCs w:val="20"/>
          <w:u w:val="single"/>
        </w:rPr>
      </w:pPr>
      <w:r w:rsidRPr="00BA1A3D">
        <w:rPr>
          <w:rFonts w:ascii="Tahoma" w:hAnsi="Tahoma" w:cs="Tahoma"/>
          <w:sz w:val="20"/>
          <w:szCs w:val="20"/>
          <w:u w:val="single"/>
        </w:rPr>
        <w:t>Terms of Reference</w:t>
      </w:r>
    </w:p>
    <w:p w:rsidR="00E966A4" w:rsidRPr="00BA1A3D" w:rsidRDefault="00E966A4" w:rsidP="00E966A4">
      <w:pPr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In order to fulfil this purpose, the Retention and Success Task Group will undertake the following tasks:</w:t>
      </w:r>
    </w:p>
    <w:p w:rsidR="009D16CB" w:rsidRPr="00BA1A3D" w:rsidRDefault="006D2AB1" w:rsidP="00062211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Support the production</w:t>
      </w:r>
      <w:r w:rsidR="007C35E5" w:rsidRPr="00BA1A3D">
        <w:rPr>
          <w:rFonts w:ascii="Tahoma" w:hAnsi="Tahoma" w:cs="Tahoma"/>
          <w:sz w:val="20"/>
          <w:szCs w:val="20"/>
        </w:rPr>
        <w:t xml:space="preserve"> and updating</w:t>
      </w:r>
      <w:r w:rsidRPr="00BA1A3D">
        <w:rPr>
          <w:rFonts w:ascii="Tahoma" w:hAnsi="Tahoma" w:cs="Tahoma"/>
          <w:sz w:val="20"/>
          <w:szCs w:val="20"/>
        </w:rPr>
        <w:t xml:space="preserve"> of the </w:t>
      </w:r>
      <w:r w:rsidR="000D453E" w:rsidRPr="00BA1A3D">
        <w:rPr>
          <w:rFonts w:ascii="Tahoma" w:hAnsi="Tahoma" w:cs="Tahoma"/>
          <w:sz w:val="20"/>
          <w:szCs w:val="20"/>
        </w:rPr>
        <w:t>University’s Access and Participation Plan and monitor the University’s performance against the targets specified</w:t>
      </w:r>
      <w:r w:rsidRPr="00BA1A3D">
        <w:rPr>
          <w:rFonts w:ascii="Tahoma" w:hAnsi="Tahoma" w:cs="Tahoma"/>
          <w:sz w:val="20"/>
          <w:szCs w:val="20"/>
        </w:rPr>
        <w:t xml:space="preserve"> within the Plan; </w:t>
      </w:r>
      <w:r w:rsidR="00BB5037" w:rsidRPr="00BA1A3D">
        <w:rPr>
          <w:rFonts w:ascii="Tahoma" w:hAnsi="Tahoma" w:cs="Tahoma"/>
          <w:sz w:val="20"/>
          <w:szCs w:val="20"/>
        </w:rPr>
        <w:t>and drive and effect changes accordingly</w:t>
      </w:r>
    </w:p>
    <w:p w:rsidR="009D16CB" w:rsidRPr="00BA1A3D" w:rsidRDefault="00D3440E" w:rsidP="00D32B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D</w:t>
      </w:r>
      <w:r w:rsidR="00E966A4" w:rsidRPr="00BA1A3D">
        <w:rPr>
          <w:rFonts w:ascii="Tahoma" w:hAnsi="Tahoma" w:cs="Tahoma"/>
          <w:sz w:val="20"/>
          <w:szCs w:val="20"/>
        </w:rPr>
        <w:t xml:space="preserve">evelop </w:t>
      </w:r>
      <w:proofErr w:type="gramStart"/>
      <w:r w:rsidR="00E966A4" w:rsidRPr="00BA1A3D">
        <w:rPr>
          <w:rFonts w:ascii="Tahoma" w:hAnsi="Tahoma" w:cs="Tahoma"/>
          <w:sz w:val="20"/>
          <w:szCs w:val="20"/>
        </w:rPr>
        <w:t>an</w:t>
      </w:r>
      <w:proofErr w:type="gramEnd"/>
      <w:r w:rsidR="00E966A4" w:rsidRPr="00BA1A3D">
        <w:rPr>
          <w:rFonts w:ascii="Tahoma" w:hAnsi="Tahoma" w:cs="Tahoma"/>
          <w:sz w:val="20"/>
          <w:szCs w:val="20"/>
        </w:rPr>
        <w:t xml:space="preserve"> </w:t>
      </w:r>
      <w:r w:rsidRPr="00BA1A3D">
        <w:rPr>
          <w:rFonts w:ascii="Tahoma" w:hAnsi="Tahoma" w:cs="Tahoma"/>
          <w:sz w:val="20"/>
          <w:szCs w:val="20"/>
        </w:rPr>
        <w:t xml:space="preserve">University Strategy and </w:t>
      </w:r>
      <w:r w:rsidR="00E966A4" w:rsidRPr="00BA1A3D">
        <w:rPr>
          <w:rFonts w:ascii="Tahoma" w:hAnsi="Tahoma" w:cs="Tahoma"/>
          <w:sz w:val="20"/>
          <w:szCs w:val="20"/>
        </w:rPr>
        <w:t xml:space="preserve">action plan </w:t>
      </w:r>
      <w:r w:rsidRPr="00BA1A3D">
        <w:rPr>
          <w:rFonts w:ascii="Tahoma" w:hAnsi="Tahoma" w:cs="Tahoma"/>
          <w:sz w:val="20"/>
          <w:szCs w:val="20"/>
        </w:rPr>
        <w:t>based on analysis of data/initiatives to improve retention and success received, and monitor the University’s performance against the action plan</w:t>
      </w:r>
      <w:r w:rsidR="00225A46" w:rsidRPr="00BA1A3D">
        <w:rPr>
          <w:rFonts w:ascii="Tahoma" w:hAnsi="Tahoma" w:cs="Tahoma"/>
          <w:sz w:val="20"/>
          <w:szCs w:val="20"/>
        </w:rPr>
        <w:t xml:space="preserve">; </w:t>
      </w:r>
      <w:r w:rsidR="00BB5037" w:rsidRPr="00BA1A3D">
        <w:rPr>
          <w:rFonts w:ascii="Tahoma" w:hAnsi="Tahoma" w:cs="Tahoma"/>
          <w:sz w:val="20"/>
          <w:szCs w:val="20"/>
        </w:rPr>
        <w:t>and drive and effect changes accordingly</w:t>
      </w:r>
    </w:p>
    <w:p w:rsidR="00E966A4" w:rsidRPr="00BA1A3D" w:rsidRDefault="00E966A4" w:rsidP="00D32B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Explicitly consider differential outcomes by a range of student characteristics (including gender, ethnicity, socio-economic background, age, mode of study and entry qualifications) and include actions within the action plan to reduce differential outcomes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lastRenderedPageBreak/>
        <w:t xml:space="preserve">Set targets, at subject level, for student retention and success relating these to institutional KPIs 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Hold meetings with colleagues at subject level, as required, to address subject level performance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 xml:space="preserve">At each meeting, receive a report on student withdrawals since the previous meeting and use this information to identify appropriate action (this may feed into tasks </w:t>
      </w:r>
      <w:proofErr w:type="spellStart"/>
      <w:r w:rsidRPr="00BA1A3D">
        <w:rPr>
          <w:rFonts w:ascii="Tahoma" w:hAnsi="Tahoma" w:cs="Tahoma"/>
          <w:sz w:val="20"/>
          <w:szCs w:val="20"/>
        </w:rPr>
        <w:t>i</w:t>
      </w:r>
      <w:proofErr w:type="spellEnd"/>
      <w:r w:rsidRPr="00BA1A3D">
        <w:rPr>
          <w:rFonts w:ascii="Tahoma" w:hAnsi="Tahoma" w:cs="Tahoma"/>
          <w:sz w:val="20"/>
          <w:szCs w:val="20"/>
        </w:rPr>
        <w:t>) and iii) above)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Regularly review the impact of University</w:t>
      </w:r>
      <w:r w:rsidR="00D3440E" w:rsidRPr="00BA1A3D">
        <w:rPr>
          <w:rFonts w:ascii="Tahoma" w:hAnsi="Tahoma" w:cs="Tahoma"/>
          <w:sz w:val="20"/>
          <w:szCs w:val="20"/>
        </w:rPr>
        <w:t xml:space="preserve"> General</w:t>
      </w:r>
      <w:r w:rsidRPr="00BA1A3D">
        <w:rPr>
          <w:rFonts w:ascii="Tahoma" w:hAnsi="Tahoma" w:cs="Tahoma"/>
          <w:sz w:val="20"/>
          <w:szCs w:val="20"/>
        </w:rPr>
        <w:t xml:space="preserve"> Academic Regulations on retention and success and make recommendations to </w:t>
      </w:r>
      <w:r w:rsidR="00D3440E" w:rsidRPr="00BA1A3D">
        <w:rPr>
          <w:rFonts w:ascii="Tahoma" w:hAnsi="Tahoma" w:cs="Tahoma"/>
          <w:sz w:val="20"/>
          <w:szCs w:val="20"/>
        </w:rPr>
        <w:t>the Regulations Task Group/</w:t>
      </w:r>
      <w:r w:rsidRPr="00BA1A3D">
        <w:rPr>
          <w:rFonts w:ascii="Tahoma" w:hAnsi="Tahoma" w:cs="Tahoma"/>
          <w:sz w:val="20"/>
          <w:szCs w:val="20"/>
        </w:rPr>
        <w:t>Learning</w:t>
      </w:r>
      <w:r w:rsidR="009A21C6" w:rsidRPr="00BA1A3D">
        <w:rPr>
          <w:rFonts w:ascii="Tahoma" w:hAnsi="Tahoma" w:cs="Tahoma"/>
          <w:sz w:val="20"/>
          <w:szCs w:val="20"/>
        </w:rPr>
        <w:t>, Teaching</w:t>
      </w:r>
      <w:r w:rsidRPr="00BA1A3D">
        <w:rPr>
          <w:rFonts w:ascii="Tahoma" w:hAnsi="Tahoma" w:cs="Tahoma"/>
          <w:sz w:val="20"/>
          <w:szCs w:val="20"/>
        </w:rPr>
        <w:t xml:space="preserve"> and</w:t>
      </w:r>
      <w:r w:rsidR="009A21C6" w:rsidRPr="00BA1A3D">
        <w:rPr>
          <w:rFonts w:ascii="Tahoma" w:hAnsi="Tahoma" w:cs="Tahoma"/>
          <w:sz w:val="20"/>
          <w:szCs w:val="20"/>
        </w:rPr>
        <w:t xml:space="preserve"> Academic</w:t>
      </w:r>
      <w:r w:rsidRPr="00BA1A3D">
        <w:rPr>
          <w:rFonts w:ascii="Tahoma" w:hAnsi="Tahoma" w:cs="Tahoma"/>
          <w:sz w:val="20"/>
          <w:szCs w:val="20"/>
        </w:rPr>
        <w:t xml:space="preserve"> Quality Committee for appropriate amendments to Academic Regulations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Promote initiatives aimed at improving student retention and success both within and outside the formal curriculum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Commission research to better understand reasons for student withdrawal</w:t>
      </w:r>
      <w:r w:rsidR="00D3440E" w:rsidRPr="00BA1A3D">
        <w:rPr>
          <w:rFonts w:ascii="Tahoma" w:hAnsi="Tahoma" w:cs="Tahoma"/>
          <w:sz w:val="20"/>
          <w:szCs w:val="20"/>
        </w:rPr>
        <w:t xml:space="preserve"> and disseminate the outcomes of this research widely across the University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 xml:space="preserve">Liaise with the </w:t>
      </w:r>
      <w:proofErr w:type="spellStart"/>
      <w:r w:rsidR="00747217" w:rsidRPr="00BA1A3D">
        <w:rPr>
          <w:rFonts w:ascii="Tahoma" w:hAnsi="Tahoma" w:cs="Tahoma"/>
          <w:sz w:val="20"/>
          <w:szCs w:val="20"/>
        </w:rPr>
        <w:t>SEAtS</w:t>
      </w:r>
      <w:proofErr w:type="spellEnd"/>
      <w:r w:rsidR="00747217" w:rsidRPr="00BA1A3D">
        <w:rPr>
          <w:rFonts w:ascii="Tahoma" w:hAnsi="Tahoma" w:cs="Tahoma"/>
          <w:sz w:val="20"/>
          <w:szCs w:val="20"/>
        </w:rPr>
        <w:t xml:space="preserve"> </w:t>
      </w:r>
      <w:r w:rsidR="000D453E" w:rsidRPr="00BA1A3D">
        <w:rPr>
          <w:rFonts w:ascii="Tahoma" w:hAnsi="Tahoma" w:cs="Tahoma"/>
          <w:sz w:val="20"/>
          <w:szCs w:val="20"/>
        </w:rPr>
        <w:t xml:space="preserve">Implementation </w:t>
      </w:r>
      <w:r w:rsidR="00747217" w:rsidRPr="00BA1A3D">
        <w:rPr>
          <w:rFonts w:ascii="Tahoma" w:hAnsi="Tahoma" w:cs="Tahoma"/>
          <w:sz w:val="20"/>
          <w:szCs w:val="20"/>
        </w:rPr>
        <w:t>Group to oversee the use of student engagement data</w:t>
      </w:r>
    </w:p>
    <w:p w:rsidR="00747217" w:rsidRPr="00BA1A3D" w:rsidRDefault="00E966A4" w:rsidP="00747217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Receive an annual report regarding the proportion of 1st/2:1 honours degrees awarded and monitor this over time in relation to the Grade Inflation Supplementary metric in the TEF</w:t>
      </w:r>
    </w:p>
    <w:p w:rsidR="00D3440E" w:rsidRPr="00BA1A3D" w:rsidRDefault="00D3440E" w:rsidP="00D3440E">
      <w:pPr>
        <w:pStyle w:val="ListParagraph"/>
        <w:numPr>
          <w:ilvl w:val="0"/>
          <w:numId w:val="6"/>
        </w:numPr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Prepare an action plan to address issues of grade inflation (should any arise) and monitor progress of the action plan</w:t>
      </w:r>
    </w:p>
    <w:p w:rsidR="00747217" w:rsidRPr="00BA1A3D" w:rsidRDefault="00747217" w:rsidP="007F7C9E">
      <w:pPr>
        <w:pStyle w:val="ListParagraph"/>
        <w:numPr>
          <w:ilvl w:val="0"/>
          <w:numId w:val="6"/>
        </w:numPr>
        <w:spacing w:line="240" w:lineRule="auto"/>
        <w:ind w:left="1058" w:hanging="774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Receive annual reports, verbal and written, relating to the remit of the Task Group, such as:</w:t>
      </w:r>
    </w:p>
    <w:p w:rsidR="00747217" w:rsidRPr="00BA1A3D" w:rsidRDefault="00747217" w:rsidP="00747217">
      <w:pPr>
        <w:pStyle w:val="ListParagraph"/>
        <w:numPr>
          <w:ilvl w:val="1"/>
          <w:numId w:val="8"/>
        </w:numPr>
        <w:spacing w:line="240" w:lineRule="auto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 xml:space="preserve">Success and completion analysis </w:t>
      </w:r>
    </w:p>
    <w:p w:rsidR="00747217" w:rsidRPr="00BA1A3D" w:rsidRDefault="00747217" w:rsidP="00747217">
      <w:pPr>
        <w:pStyle w:val="ListParagraph"/>
        <w:numPr>
          <w:ilvl w:val="1"/>
          <w:numId w:val="8"/>
        </w:numPr>
        <w:spacing w:line="240" w:lineRule="auto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 xml:space="preserve">Progression statistics from the Programme Assessment Boards </w:t>
      </w:r>
    </w:p>
    <w:p w:rsidR="00747217" w:rsidRPr="00BA1A3D" w:rsidRDefault="00747217" w:rsidP="00747217">
      <w:pPr>
        <w:pStyle w:val="ListParagraph"/>
        <w:numPr>
          <w:ilvl w:val="1"/>
          <w:numId w:val="8"/>
        </w:numPr>
        <w:spacing w:line="240" w:lineRule="auto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Non-continuation analysis</w:t>
      </w:r>
    </w:p>
    <w:p w:rsidR="00747217" w:rsidRPr="00BA1A3D" w:rsidRDefault="00747217" w:rsidP="00747217">
      <w:pPr>
        <w:pStyle w:val="ListParagraph"/>
        <w:numPr>
          <w:ilvl w:val="1"/>
          <w:numId w:val="8"/>
        </w:numPr>
        <w:spacing w:line="240" w:lineRule="auto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Updates on key processes relating to the remit of the Task Group (i.e. induction and HEADs programmes)</w:t>
      </w:r>
    </w:p>
    <w:p w:rsidR="00747217" w:rsidRPr="00BA1A3D" w:rsidRDefault="00747217" w:rsidP="00E43115">
      <w:pPr>
        <w:pStyle w:val="ListParagraph"/>
        <w:numPr>
          <w:ilvl w:val="1"/>
          <w:numId w:val="8"/>
        </w:numPr>
        <w:spacing w:line="240" w:lineRule="auto"/>
        <w:ind w:left="212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Analysis on the use and impact of ILPs, RAPs, extensions and mitigating circumstances in supporting students’ progression.</w:t>
      </w:r>
    </w:p>
    <w:p w:rsidR="00E966A4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 xml:space="preserve">Be the first point of response to any </w:t>
      </w:r>
      <w:proofErr w:type="spellStart"/>
      <w:r w:rsidRPr="00BA1A3D">
        <w:rPr>
          <w:rFonts w:ascii="Tahoma" w:hAnsi="Tahoma" w:cs="Tahoma"/>
          <w:sz w:val="20"/>
          <w:szCs w:val="20"/>
        </w:rPr>
        <w:t>OfS</w:t>
      </w:r>
      <w:proofErr w:type="spellEnd"/>
      <w:r w:rsidRPr="00BA1A3D">
        <w:rPr>
          <w:rFonts w:ascii="Tahoma" w:hAnsi="Tahoma" w:cs="Tahoma"/>
          <w:sz w:val="20"/>
          <w:szCs w:val="20"/>
        </w:rPr>
        <w:t xml:space="preserve"> queries in relation to retention</w:t>
      </w:r>
      <w:r w:rsidR="00BB5037" w:rsidRPr="00BA1A3D">
        <w:rPr>
          <w:rFonts w:ascii="Tahoma" w:hAnsi="Tahoma" w:cs="Tahoma"/>
          <w:sz w:val="20"/>
          <w:szCs w:val="20"/>
        </w:rPr>
        <w:t xml:space="preserve"> and success</w:t>
      </w:r>
    </w:p>
    <w:p w:rsidR="00B854B8" w:rsidRPr="00BA1A3D" w:rsidRDefault="00E966A4" w:rsidP="00E966A4">
      <w:pPr>
        <w:pStyle w:val="ListParagraph"/>
        <w:numPr>
          <w:ilvl w:val="0"/>
          <w:numId w:val="6"/>
        </w:numPr>
        <w:ind w:left="1077"/>
        <w:contextualSpacing w:val="0"/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Report</w:t>
      </w:r>
      <w:r w:rsidR="00D3440E" w:rsidRPr="00BA1A3D">
        <w:rPr>
          <w:rFonts w:ascii="Tahoma" w:hAnsi="Tahoma" w:cs="Tahoma"/>
          <w:sz w:val="20"/>
          <w:szCs w:val="20"/>
        </w:rPr>
        <w:t xml:space="preserve"> to</w:t>
      </w:r>
      <w:r w:rsidRPr="00BA1A3D">
        <w:rPr>
          <w:rFonts w:ascii="Tahoma" w:hAnsi="Tahoma" w:cs="Tahoma"/>
          <w:sz w:val="20"/>
          <w:szCs w:val="20"/>
        </w:rPr>
        <w:t xml:space="preserve"> both </w:t>
      </w:r>
      <w:r w:rsidR="00D3440E" w:rsidRPr="00BA1A3D">
        <w:rPr>
          <w:rFonts w:ascii="Tahoma" w:hAnsi="Tahoma" w:cs="Tahoma"/>
          <w:sz w:val="20"/>
          <w:szCs w:val="20"/>
        </w:rPr>
        <w:t xml:space="preserve">the </w:t>
      </w:r>
      <w:r w:rsidRPr="00BA1A3D">
        <w:rPr>
          <w:rFonts w:ascii="Tahoma" w:hAnsi="Tahoma" w:cs="Tahoma"/>
          <w:sz w:val="20"/>
          <w:szCs w:val="20"/>
        </w:rPr>
        <w:t>Learning</w:t>
      </w:r>
      <w:r w:rsidR="003D3EF8" w:rsidRPr="00BA1A3D">
        <w:rPr>
          <w:rFonts w:ascii="Tahoma" w:hAnsi="Tahoma" w:cs="Tahoma"/>
          <w:sz w:val="20"/>
          <w:szCs w:val="20"/>
        </w:rPr>
        <w:t>, Teaching</w:t>
      </w:r>
      <w:r w:rsidRPr="00BA1A3D">
        <w:rPr>
          <w:rFonts w:ascii="Tahoma" w:hAnsi="Tahoma" w:cs="Tahoma"/>
          <w:sz w:val="20"/>
          <w:szCs w:val="20"/>
        </w:rPr>
        <w:t xml:space="preserve"> and </w:t>
      </w:r>
      <w:r w:rsidR="003D3EF8" w:rsidRPr="00BA1A3D">
        <w:rPr>
          <w:rFonts w:ascii="Tahoma" w:hAnsi="Tahoma" w:cs="Tahoma"/>
          <w:sz w:val="20"/>
          <w:szCs w:val="20"/>
        </w:rPr>
        <w:t xml:space="preserve">Academic </w:t>
      </w:r>
      <w:r w:rsidRPr="00BA1A3D">
        <w:rPr>
          <w:rFonts w:ascii="Tahoma" w:hAnsi="Tahoma" w:cs="Tahoma"/>
          <w:sz w:val="20"/>
          <w:szCs w:val="20"/>
        </w:rPr>
        <w:t>Quality Committee and Student Experience Committee</w:t>
      </w:r>
      <w:r w:rsidR="00D3440E" w:rsidRPr="00BA1A3D">
        <w:rPr>
          <w:rFonts w:ascii="Tahoma" w:hAnsi="Tahoma" w:cs="Tahoma"/>
          <w:sz w:val="20"/>
          <w:szCs w:val="20"/>
        </w:rPr>
        <w:t xml:space="preserve"> the findings </w:t>
      </w:r>
      <w:r w:rsidR="004E7783" w:rsidRPr="00BA1A3D">
        <w:rPr>
          <w:rFonts w:ascii="Tahoma" w:hAnsi="Tahoma" w:cs="Tahoma"/>
          <w:sz w:val="20"/>
          <w:szCs w:val="20"/>
        </w:rPr>
        <w:t>and actions</w:t>
      </w:r>
      <w:r w:rsidR="00D3440E" w:rsidRPr="00BA1A3D">
        <w:rPr>
          <w:rFonts w:ascii="Tahoma" w:hAnsi="Tahoma" w:cs="Tahoma"/>
          <w:sz w:val="20"/>
          <w:szCs w:val="20"/>
        </w:rPr>
        <w:t xml:space="preserve"> of the Task Group and ensure that any Policy/initiatives agreed by the Task Group are formally received at both meetings to aid in wider dissemination</w:t>
      </w:r>
    </w:p>
    <w:p w:rsidR="00E43115" w:rsidRPr="00BA1A3D" w:rsidRDefault="00E966A4" w:rsidP="00E43115">
      <w:pPr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lastRenderedPageBreak/>
        <w:t>The Task Group will receive a small annual budget – the Chair of the Task Group will be the budget holder</w:t>
      </w:r>
      <w:r w:rsidR="00E43115" w:rsidRPr="00BA1A3D">
        <w:rPr>
          <w:rFonts w:ascii="Tahoma" w:hAnsi="Tahoma" w:cs="Tahoma"/>
          <w:sz w:val="20"/>
          <w:szCs w:val="20"/>
        </w:rPr>
        <w:t>.</w:t>
      </w:r>
    </w:p>
    <w:p w:rsidR="009D16CB" w:rsidRPr="00BA1A3D" w:rsidRDefault="00A82C19" w:rsidP="00E43115">
      <w:pPr>
        <w:rPr>
          <w:rFonts w:ascii="Tahoma" w:hAnsi="Tahoma" w:cs="Tahoma"/>
          <w:sz w:val="20"/>
          <w:szCs w:val="20"/>
          <w:u w:val="single"/>
        </w:rPr>
      </w:pPr>
      <w:r w:rsidRPr="00BA1A3D">
        <w:rPr>
          <w:rFonts w:ascii="Tahoma" w:hAnsi="Tahoma" w:cs="Tahoma"/>
          <w:sz w:val="20"/>
          <w:szCs w:val="20"/>
          <w:u w:val="single"/>
        </w:rPr>
        <w:t>Reporting</w:t>
      </w:r>
    </w:p>
    <w:p w:rsidR="00A82C19" w:rsidRPr="00BA1A3D" w:rsidRDefault="00E966A4" w:rsidP="00E43115">
      <w:pPr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 xml:space="preserve">Report </w:t>
      </w:r>
      <w:r w:rsidR="00D3440E" w:rsidRPr="00BA1A3D">
        <w:rPr>
          <w:rFonts w:ascii="Tahoma" w:hAnsi="Tahoma" w:cs="Tahoma"/>
          <w:sz w:val="20"/>
          <w:szCs w:val="20"/>
        </w:rPr>
        <w:t xml:space="preserve">the </w:t>
      </w:r>
      <w:r w:rsidRPr="00BA1A3D">
        <w:rPr>
          <w:rFonts w:ascii="Tahoma" w:hAnsi="Tahoma" w:cs="Tahoma"/>
          <w:sz w:val="20"/>
          <w:szCs w:val="20"/>
        </w:rPr>
        <w:t>findings</w:t>
      </w:r>
      <w:r w:rsidR="004E7783" w:rsidRPr="00BA1A3D">
        <w:rPr>
          <w:rFonts w:ascii="Tahoma" w:hAnsi="Tahoma" w:cs="Tahoma"/>
          <w:sz w:val="20"/>
          <w:szCs w:val="20"/>
        </w:rPr>
        <w:t>, actions</w:t>
      </w:r>
      <w:r w:rsidRPr="00BA1A3D">
        <w:rPr>
          <w:rFonts w:ascii="Tahoma" w:hAnsi="Tahoma" w:cs="Tahoma"/>
          <w:sz w:val="20"/>
          <w:szCs w:val="20"/>
        </w:rPr>
        <w:t xml:space="preserve"> and</w:t>
      </w:r>
      <w:r w:rsidR="00D3440E" w:rsidRPr="00BA1A3D">
        <w:rPr>
          <w:rFonts w:ascii="Tahoma" w:hAnsi="Tahoma" w:cs="Tahoma"/>
          <w:sz w:val="20"/>
          <w:szCs w:val="20"/>
        </w:rPr>
        <w:t xml:space="preserve"> </w:t>
      </w:r>
      <w:r w:rsidR="004E7783" w:rsidRPr="00BA1A3D">
        <w:rPr>
          <w:rFonts w:ascii="Tahoma" w:hAnsi="Tahoma" w:cs="Tahoma"/>
          <w:sz w:val="20"/>
          <w:szCs w:val="20"/>
        </w:rPr>
        <w:t xml:space="preserve">any </w:t>
      </w:r>
      <w:r w:rsidR="00BB5037" w:rsidRPr="00BA1A3D">
        <w:rPr>
          <w:rFonts w:ascii="Tahoma" w:hAnsi="Tahoma" w:cs="Tahoma"/>
          <w:sz w:val="20"/>
          <w:szCs w:val="20"/>
        </w:rPr>
        <w:t>agreed</w:t>
      </w:r>
      <w:r w:rsidRPr="00BA1A3D">
        <w:rPr>
          <w:rFonts w:ascii="Tahoma" w:hAnsi="Tahoma" w:cs="Tahoma"/>
          <w:sz w:val="20"/>
          <w:szCs w:val="20"/>
        </w:rPr>
        <w:t xml:space="preserve"> </w:t>
      </w:r>
      <w:r w:rsidR="00BB5037" w:rsidRPr="00BA1A3D">
        <w:rPr>
          <w:rFonts w:ascii="Tahoma" w:hAnsi="Tahoma" w:cs="Tahoma"/>
          <w:sz w:val="20"/>
          <w:szCs w:val="20"/>
        </w:rPr>
        <w:t>P</w:t>
      </w:r>
      <w:r w:rsidR="00D3440E" w:rsidRPr="00BA1A3D">
        <w:rPr>
          <w:rFonts w:ascii="Tahoma" w:hAnsi="Tahoma" w:cs="Tahoma"/>
          <w:sz w:val="20"/>
          <w:szCs w:val="20"/>
        </w:rPr>
        <w:t xml:space="preserve">olicy/initiatives </w:t>
      </w:r>
      <w:r w:rsidRPr="00BA1A3D">
        <w:rPr>
          <w:rFonts w:ascii="Tahoma" w:hAnsi="Tahoma" w:cs="Tahoma"/>
          <w:sz w:val="20"/>
          <w:szCs w:val="20"/>
        </w:rPr>
        <w:t xml:space="preserve">to </w:t>
      </w:r>
      <w:r w:rsidR="00D3440E" w:rsidRPr="00BA1A3D">
        <w:rPr>
          <w:rFonts w:ascii="Tahoma" w:hAnsi="Tahoma" w:cs="Tahoma"/>
          <w:sz w:val="20"/>
          <w:szCs w:val="20"/>
        </w:rPr>
        <w:t xml:space="preserve">the </w:t>
      </w:r>
      <w:r w:rsidRPr="00BA1A3D">
        <w:rPr>
          <w:rFonts w:ascii="Tahoma" w:hAnsi="Tahoma" w:cs="Tahoma"/>
          <w:sz w:val="20"/>
          <w:szCs w:val="20"/>
        </w:rPr>
        <w:t>both Learning</w:t>
      </w:r>
      <w:r w:rsidR="003D3EF8" w:rsidRPr="00BA1A3D">
        <w:rPr>
          <w:rFonts w:ascii="Tahoma" w:hAnsi="Tahoma" w:cs="Tahoma"/>
          <w:sz w:val="20"/>
          <w:szCs w:val="20"/>
        </w:rPr>
        <w:t>, Teaching</w:t>
      </w:r>
      <w:r w:rsidRPr="00BA1A3D">
        <w:rPr>
          <w:rFonts w:ascii="Tahoma" w:hAnsi="Tahoma" w:cs="Tahoma"/>
          <w:sz w:val="20"/>
          <w:szCs w:val="20"/>
        </w:rPr>
        <w:t xml:space="preserve"> and </w:t>
      </w:r>
      <w:r w:rsidR="003D3EF8" w:rsidRPr="00BA1A3D">
        <w:rPr>
          <w:rFonts w:ascii="Tahoma" w:hAnsi="Tahoma" w:cs="Tahoma"/>
          <w:sz w:val="20"/>
          <w:szCs w:val="20"/>
        </w:rPr>
        <w:t xml:space="preserve">Academic </w:t>
      </w:r>
      <w:r w:rsidRPr="00BA1A3D">
        <w:rPr>
          <w:rFonts w:ascii="Tahoma" w:hAnsi="Tahoma" w:cs="Tahoma"/>
          <w:sz w:val="20"/>
          <w:szCs w:val="20"/>
        </w:rPr>
        <w:t>Quality Committee and Student Experience Committee</w:t>
      </w:r>
      <w:r w:rsidR="004E7783" w:rsidRPr="00BA1A3D">
        <w:rPr>
          <w:rFonts w:ascii="Tahoma" w:hAnsi="Tahoma" w:cs="Tahoma"/>
          <w:sz w:val="20"/>
          <w:szCs w:val="20"/>
        </w:rPr>
        <w:t xml:space="preserve">, as well as University Leadership Team </w:t>
      </w:r>
      <w:r w:rsidR="00BB5037" w:rsidRPr="00BA1A3D">
        <w:rPr>
          <w:rFonts w:ascii="Tahoma" w:hAnsi="Tahoma" w:cs="Tahoma"/>
          <w:sz w:val="20"/>
          <w:szCs w:val="20"/>
        </w:rPr>
        <w:t xml:space="preserve">(ULT), University Operations Team (UOT) and Senate </w:t>
      </w:r>
      <w:r w:rsidR="004E7783" w:rsidRPr="00BA1A3D">
        <w:rPr>
          <w:rFonts w:ascii="Tahoma" w:hAnsi="Tahoma" w:cs="Tahoma"/>
          <w:sz w:val="20"/>
          <w:szCs w:val="20"/>
        </w:rPr>
        <w:t>where appropriate</w:t>
      </w:r>
    </w:p>
    <w:p w:rsidR="00B854B8" w:rsidRPr="00BA1A3D" w:rsidRDefault="00B854B8" w:rsidP="00B854B8">
      <w:pPr>
        <w:keepNext/>
        <w:rPr>
          <w:rFonts w:ascii="Tahoma" w:hAnsi="Tahoma" w:cs="Tahoma"/>
          <w:sz w:val="20"/>
          <w:szCs w:val="20"/>
          <w:u w:val="single"/>
        </w:rPr>
      </w:pPr>
      <w:proofErr w:type="spellStart"/>
      <w:r w:rsidRPr="00BA1A3D">
        <w:rPr>
          <w:rFonts w:ascii="Tahoma" w:hAnsi="Tahoma" w:cs="Tahoma"/>
          <w:sz w:val="20"/>
          <w:szCs w:val="20"/>
          <w:u w:val="single"/>
        </w:rPr>
        <w:t>Quoracy</w:t>
      </w:r>
      <w:proofErr w:type="spellEnd"/>
    </w:p>
    <w:p w:rsidR="0021110E" w:rsidRPr="00BA1A3D" w:rsidRDefault="0021110E" w:rsidP="0021110E">
      <w:pPr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 xml:space="preserve">50% plus 1.  </w:t>
      </w:r>
      <w:r w:rsidRPr="00BA1A3D">
        <w:rPr>
          <w:rFonts w:ascii="Tahoma" w:hAnsi="Tahoma" w:cs="Tahoma"/>
          <w:sz w:val="20"/>
          <w:szCs w:val="20"/>
        </w:rPr>
        <w:t>Attendance of members will be monitored on an annual basis.</w:t>
      </w:r>
    </w:p>
    <w:p w:rsidR="00B854B8" w:rsidRPr="00BA1A3D" w:rsidRDefault="00B854B8" w:rsidP="00B854B8">
      <w:pPr>
        <w:keepNext/>
        <w:rPr>
          <w:rFonts w:ascii="Tahoma" w:hAnsi="Tahoma" w:cs="Tahoma"/>
          <w:sz w:val="20"/>
          <w:szCs w:val="20"/>
          <w:u w:val="single"/>
        </w:rPr>
      </w:pPr>
      <w:r w:rsidRPr="00BA1A3D">
        <w:rPr>
          <w:rFonts w:ascii="Tahoma" w:hAnsi="Tahoma" w:cs="Tahoma"/>
          <w:sz w:val="20"/>
          <w:szCs w:val="20"/>
          <w:u w:val="single"/>
        </w:rPr>
        <w:t>Frequency of Meetings</w:t>
      </w:r>
    </w:p>
    <w:p w:rsidR="00E966A4" w:rsidRPr="00BA1A3D" w:rsidRDefault="00E966A4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Monthly</w:t>
      </w:r>
    </w:p>
    <w:p w:rsidR="00B854B8" w:rsidRPr="00BA1A3D" w:rsidRDefault="00B854B8" w:rsidP="00B854B8">
      <w:pPr>
        <w:keepNext/>
        <w:rPr>
          <w:rFonts w:ascii="Tahoma" w:hAnsi="Tahoma" w:cs="Tahoma"/>
          <w:sz w:val="20"/>
          <w:szCs w:val="20"/>
          <w:u w:val="single"/>
        </w:rPr>
      </w:pPr>
      <w:r w:rsidRPr="00BA1A3D">
        <w:rPr>
          <w:rFonts w:ascii="Tahoma" w:hAnsi="Tahoma" w:cs="Tahoma"/>
          <w:sz w:val="20"/>
          <w:szCs w:val="20"/>
          <w:u w:val="single"/>
        </w:rPr>
        <w:t>Membership</w:t>
      </w:r>
    </w:p>
    <w:p w:rsidR="00E966A4" w:rsidRPr="00BA1A3D" w:rsidRDefault="00E966A4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Director of Learning, Teaching and Scholarship (Chair)</w:t>
      </w:r>
      <w:r w:rsidR="00747217" w:rsidRPr="00BA1A3D">
        <w:rPr>
          <w:rFonts w:ascii="Tahoma" w:hAnsi="Tahoma" w:cs="Tahoma"/>
          <w:sz w:val="20"/>
          <w:szCs w:val="20"/>
          <w:lang w:eastAsia="en-GB"/>
        </w:rPr>
        <w:t xml:space="preserve"> </w:t>
      </w:r>
    </w:p>
    <w:p w:rsidR="00C42C1E" w:rsidRPr="00BA1A3D" w:rsidRDefault="00C42C1E" w:rsidP="00C42C1E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Deputy Director of Learning, Teaching and Scholarship (Vice-Chair)</w:t>
      </w:r>
    </w:p>
    <w:p w:rsidR="00FA459E" w:rsidRPr="00BA1A3D" w:rsidRDefault="000D453E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Academic Department</w:t>
      </w:r>
      <w:r w:rsidR="00FA459E" w:rsidRPr="00BA1A3D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BA1A3D">
        <w:rPr>
          <w:rFonts w:ascii="Tahoma" w:hAnsi="Tahoma" w:cs="Tahoma"/>
          <w:sz w:val="20"/>
          <w:szCs w:val="20"/>
          <w:lang w:eastAsia="en-GB"/>
        </w:rPr>
        <w:t>‘</w:t>
      </w:r>
      <w:r w:rsidR="00FA459E" w:rsidRPr="00BA1A3D">
        <w:rPr>
          <w:rFonts w:ascii="Tahoma" w:hAnsi="Tahoma" w:cs="Tahoma"/>
          <w:sz w:val="20"/>
          <w:szCs w:val="20"/>
          <w:lang w:eastAsia="en-GB"/>
        </w:rPr>
        <w:t>Champion</w:t>
      </w:r>
      <w:r w:rsidRPr="00BA1A3D">
        <w:rPr>
          <w:rFonts w:ascii="Tahoma" w:hAnsi="Tahoma" w:cs="Tahoma"/>
          <w:sz w:val="20"/>
          <w:szCs w:val="20"/>
          <w:lang w:eastAsia="en-GB"/>
        </w:rPr>
        <w:t>’</w:t>
      </w:r>
      <w:r w:rsidR="00FA459E" w:rsidRPr="00BA1A3D">
        <w:rPr>
          <w:rFonts w:ascii="Tahoma" w:hAnsi="Tahoma" w:cs="Tahoma"/>
          <w:sz w:val="20"/>
          <w:szCs w:val="20"/>
          <w:lang w:eastAsia="en-GB"/>
        </w:rPr>
        <w:t xml:space="preserve"> for student retention and success </w:t>
      </w:r>
      <w:r w:rsidRPr="00BA1A3D">
        <w:rPr>
          <w:rFonts w:ascii="Tahoma" w:hAnsi="Tahoma" w:cs="Tahoma"/>
          <w:sz w:val="20"/>
          <w:szCs w:val="20"/>
          <w:lang w:eastAsia="en-GB"/>
        </w:rPr>
        <w:t xml:space="preserve">to be nominated by the relevant </w:t>
      </w:r>
      <w:r w:rsidR="00BB5037" w:rsidRPr="00BA1A3D">
        <w:rPr>
          <w:rFonts w:ascii="Tahoma" w:hAnsi="Tahoma" w:cs="Tahoma"/>
          <w:sz w:val="20"/>
          <w:szCs w:val="20"/>
          <w:lang w:eastAsia="en-GB"/>
        </w:rPr>
        <w:t xml:space="preserve">Associate </w:t>
      </w:r>
      <w:r w:rsidRPr="00BA1A3D">
        <w:rPr>
          <w:rFonts w:ascii="Tahoma" w:hAnsi="Tahoma" w:cs="Tahoma"/>
          <w:sz w:val="20"/>
          <w:szCs w:val="20"/>
          <w:lang w:eastAsia="en-GB"/>
        </w:rPr>
        <w:t>Dean</w:t>
      </w:r>
      <w:r w:rsidR="00C47CA5" w:rsidRPr="00BA1A3D">
        <w:rPr>
          <w:rFonts w:ascii="Tahoma" w:hAnsi="Tahoma" w:cs="Tahoma"/>
          <w:sz w:val="20"/>
          <w:szCs w:val="20"/>
          <w:lang w:eastAsia="en-GB"/>
        </w:rPr>
        <w:t xml:space="preserve"> (</w:t>
      </w:r>
      <w:r w:rsidR="00D3440E" w:rsidRPr="00BA1A3D">
        <w:rPr>
          <w:rFonts w:ascii="Tahoma" w:hAnsi="Tahoma" w:cs="Tahoma"/>
          <w:sz w:val="20"/>
          <w:szCs w:val="20"/>
          <w:lang w:eastAsia="en-GB"/>
        </w:rPr>
        <w:t xml:space="preserve">one per Department, </w:t>
      </w:r>
      <w:r w:rsidRPr="00BA1A3D">
        <w:rPr>
          <w:rFonts w:ascii="Tahoma" w:hAnsi="Tahoma" w:cs="Tahoma"/>
          <w:sz w:val="20"/>
          <w:szCs w:val="20"/>
          <w:lang w:eastAsia="en-GB"/>
        </w:rPr>
        <w:t xml:space="preserve">4 </w:t>
      </w:r>
      <w:r w:rsidR="00C47CA5" w:rsidRPr="00BA1A3D">
        <w:rPr>
          <w:rFonts w:ascii="Tahoma" w:hAnsi="Tahoma" w:cs="Tahoma"/>
          <w:sz w:val="20"/>
          <w:szCs w:val="20"/>
          <w:lang w:eastAsia="en-GB"/>
        </w:rPr>
        <w:t>in total)</w:t>
      </w:r>
    </w:p>
    <w:p w:rsidR="00E966A4" w:rsidRPr="00BA1A3D" w:rsidRDefault="00E966A4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Director of Student Services</w:t>
      </w:r>
    </w:p>
    <w:p w:rsidR="00E966A4" w:rsidRPr="00BA1A3D" w:rsidRDefault="00E966A4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Tutor for Transition</w:t>
      </w:r>
      <w:r w:rsidR="00747217" w:rsidRPr="00BA1A3D">
        <w:rPr>
          <w:rFonts w:ascii="Tahoma" w:hAnsi="Tahoma" w:cs="Tahoma"/>
          <w:sz w:val="20"/>
          <w:szCs w:val="20"/>
          <w:lang w:eastAsia="en-GB"/>
        </w:rPr>
        <w:t xml:space="preserve"> and Retention</w:t>
      </w:r>
    </w:p>
    <w:p w:rsidR="00747217" w:rsidRPr="00BA1A3D" w:rsidRDefault="00BB5037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Transitions</w:t>
      </w:r>
      <w:r w:rsidR="00747217" w:rsidRPr="00BA1A3D">
        <w:rPr>
          <w:rFonts w:ascii="Tahoma" w:hAnsi="Tahoma" w:cs="Tahoma"/>
          <w:sz w:val="20"/>
          <w:szCs w:val="20"/>
          <w:lang w:eastAsia="en-GB"/>
        </w:rPr>
        <w:t xml:space="preserve"> Programme Co-ordinator </w:t>
      </w:r>
    </w:p>
    <w:p w:rsidR="000D453E" w:rsidRPr="00BA1A3D" w:rsidRDefault="000D453E" w:rsidP="000D453E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Two Newman Students’ Union representatives</w:t>
      </w:r>
    </w:p>
    <w:p w:rsidR="00E966A4" w:rsidRPr="00BA1A3D" w:rsidRDefault="00E966A4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 xml:space="preserve">Representative of </w:t>
      </w:r>
      <w:r w:rsidR="00747217" w:rsidRPr="00BA1A3D">
        <w:rPr>
          <w:rFonts w:ascii="Tahoma" w:hAnsi="Tahoma" w:cs="Tahoma"/>
          <w:sz w:val="20"/>
          <w:szCs w:val="20"/>
          <w:lang w:eastAsia="en-GB"/>
        </w:rPr>
        <w:t>Planning and Systems Development (PSD)</w:t>
      </w:r>
    </w:p>
    <w:p w:rsidR="00E966A4" w:rsidRPr="00BA1A3D" w:rsidRDefault="00E966A4" w:rsidP="00BA1A3D">
      <w:pPr>
        <w:tabs>
          <w:tab w:val="left" w:pos="6086"/>
        </w:tabs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Deputy Registrar</w:t>
      </w:r>
      <w:r w:rsidR="00BA1A3D">
        <w:rPr>
          <w:rFonts w:ascii="Tahoma" w:hAnsi="Tahoma" w:cs="Tahoma"/>
          <w:sz w:val="20"/>
          <w:szCs w:val="20"/>
          <w:lang w:eastAsia="en-GB"/>
        </w:rPr>
        <w:tab/>
      </w:r>
      <w:bookmarkStart w:id="0" w:name="_GoBack"/>
      <w:bookmarkEnd w:id="0"/>
    </w:p>
    <w:p w:rsidR="00747217" w:rsidRPr="00BA1A3D" w:rsidRDefault="00747217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Representative of Registry Operations</w:t>
      </w:r>
    </w:p>
    <w:p w:rsidR="000D453E" w:rsidRPr="00BA1A3D" w:rsidRDefault="000D453E" w:rsidP="00E966A4">
      <w:pPr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Strategic lead for retention within the Library</w:t>
      </w:r>
    </w:p>
    <w:p w:rsidR="004B1235" w:rsidRPr="00BA1A3D" w:rsidRDefault="004B1235" w:rsidP="004B1235">
      <w:pPr>
        <w:tabs>
          <w:tab w:val="left" w:pos="2824"/>
        </w:tabs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Co-opted members, as deemed appropriate</w:t>
      </w:r>
    </w:p>
    <w:p w:rsidR="004B1235" w:rsidRPr="00BA1A3D" w:rsidRDefault="004B1235" w:rsidP="004B1235">
      <w:pPr>
        <w:tabs>
          <w:tab w:val="left" w:pos="2824"/>
        </w:tabs>
        <w:rPr>
          <w:rFonts w:ascii="Tahoma" w:hAnsi="Tahoma" w:cs="Tahoma"/>
          <w:sz w:val="20"/>
          <w:szCs w:val="20"/>
          <w:lang w:eastAsia="en-GB"/>
        </w:rPr>
      </w:pPr>
      <w:r w:rsidRPr="00BA1A3D">
        <w:rPr>
          <w:rFonts w:ascii="Tahoma" w:hAnsi="Tahoma" w:cs="Tahoma"/>
          <w:sz w:val="20"/>
          <w:szCs w:val="20"/>
          <w:lang w:eastAsia="en-GB"/>
        </w:rPr>
        <w:t>Other members of staff</w:t>
      </w:r>
      <w:r w:rsidR="000D453E" w:rsidRPr="00BA1A3D">
        <w:rPr>
          <w:rFonts w:ascii="Tahoma" w:hAnsi="Tahoma" w:cs="Tahoma"/>
          <w:sz w:val="20"/>
          <w:szCs w:val="20"/>
          <w:lang w:eastAsia="en-GB"/>
        </w:rPr>
        <w:t xml:space="preserve"> and students</w:t>
      </w:r>
      <w:r w:rsidRPr="00BA1A3D">
        <w:rPr>
          <w:rFonts w:ascii="Tahoma" w:hAnsi="Tahoma" w:cs="Tahoma"/>
          <w:sz w:val="20"/>
          <w:szCs w:val="20"/>
          <w:lang w:eastAsia="en-GB"/>
        </w:rPr>
        <w:t xml:space="preserve"> may be invited to attend specific meetings of the Task Group, as required, to inform/support the business of the Task Group</w:t>
      </w:r>
    </w:p>
    <w:p w:rsidR="0014207F" w:rsidRPr="00BA1A3D" w:rsidRDefault="00B854B8" w:rsidP="0014207F">
      <w:pPr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  <w:u w:val="single"/>
        </w:rPr>
        <w:t>Tenure</w:t>
      </w:r>
    </w:p>
    <w:p w:rsidR="00C42C1E" w:rsidRPr="00BA1A3D" w:rsidRDefault="00C42C1E" w:rsidP="0014207F">
      <w:pPr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 xml:space="preserve">3 years </w:t>
      </w:r>
      <w:r w:rsidR="00747217" w:rsidRPr="00BA1A3D">
        <w:rPr>
          <w:rFonts w:ascii="Tahoma" w:hAnsi="Tahoma" w:cs="Tahoma"/>
          <w:sz w:val="20"/>
          <w:szCs w:val="20"/>
        </w:rPr>
        <w:t xml:space="preserve">for </w:t>
      </w:r>
      <w:proofErr w:type="spellStart"/>
      <w:r w:rsidR="00747217" w:rsidRPr="00BA1A3D">
        <w:rPr>
          <w:rFonts w:ascii="Tahoma" w:hAnsi="Tahoma" w:cs="Tahoma"/>
          <w:sz w:val="20"/>
          <w:szCs w:val="20"/>
        </w:rPr>
        <w:t>non ex-</w:t>
      </w:r>
      <w:proofErr w:type="spellEnd"/>
      <w:r w:rsidR="00747217" w:rsidRPr="00BA1A3D">
        <w:rPr>
          <w:rFonts w:ascii="Tahoma" w:hAnsi="Tahoma" w:cs="Tahoma"/>
          <w:sz w:val="20"/>
          <w:szCs w:val="20"/>
        </w:rPr>
        <w:t xml:space="preserve">officio members, </w:t>
      </w:r>
      <w:r w:rsidRPr="00BA1A3D">
        <w:rPr>
          <w:rFonts w:ascii="Tahoma" w:hAnsi="Tahoma" w:cs="Tahoma"/>
          <w:sz w:val="20"/>
          <w:szCs w:val="20"/>
        </w:rPr>
        <w:t xml:space="preserve">with possibility for </w:t>
      </w:r>
      <w:proofErr w:type="spellStart"/>
      <w:r w:rsidRPr="00BA1A3D">
        <w:rPr>
          <w:rFonts w:ascii="Tahoma" w:hAnsi="Tahoma" w:cs="Tahoma"/>
          <w:sz w:val="20"/>
          <w:szCs w:val="20"/>
        </w:rPr>
        <w:t>renomination</w:t>
      </w:r>
      <w:proofErr w:type="spellEnd"/>
      <w:r w:rsidRPr="00BA1A3D">
        <w:rPr>
          <w:rFonts w:ascii="Tahoma" w:hAnsi="Tahoma" w:cs="Tahoma"/>
          <w:sz w:val="20"/>
          <w:szCs w:val="20"/>
        </w:rPr>
        <w:t xml:space="preserve"> for a further 3 years (6 years in total)</w:t>
      </w:r>
    </w:p>
    <w:p w:rsidR="00B854B8" w:rsidRPr="00BA1A3D" w:rsidRDefault="00B854B8" w:rsidP="0014207F">
      <w:pPr>
        <w:rPr>
          <w:rFonts w:ascii="Tahoma" w:hAnsi="Tahoma" w:cs="Tahoma"/>
          <w:sz w:val="20"/>
          <w:szCs w:val="20"/>
          <w:u w:val="single"/>
        </w:rPr>
      </w:pPr>
      <w:r w:rsidRPr="00BA1A3D">
        <w:rPr>
          <w:rFonts w:ascii="Tahoma" w:hAnsi="Tahoma" w:cs="Tahoma"/>
          <w:sz w:val="20"/>
          <w:szCs w:val="20"/>
          <w:u w:val="single"/>
        </w:rPr>
        <w:lastRenderedPageBreak/>
        <w:t xml:space="preserve">Servicing &amp; </w:t>
      </w:r>
      <w:r w:rsidR="00835635" w:rsidRPr="00BA1A3D">
        <w:rPr>
          <w:rFonts w:ascii="Tahoma" w:hAnsi="Tahoma" w:cs="Tahoma"/>
          <w:sz w:val="20"/>
          <w:szCs w:val="20"/>
          <w:u w:val="single"/>
        </w:rPr>
        <w:t>A</w:t>
      </w:r>
      <w:r w:rsidRPr="00BA1A3D">
        <w:rPr>
          <w:rFonts w:ascii="Tahoma" w:hAnsi="Tahoma" w:cs="Tahoma"/>
          <w:sz w:val="20"/>
          <w:szCs w:val="20"/>
          <w:u w:val="single"/>
        </w:rPr>
        <w:t>rrangements</w:t>
      </w:r>
      <w:r w:rsidR="00835635" w:rsidRPr="00BA1A3D">
        <w:rPr>
          <w:rFonts w:ascii="Tahoma" w:hAnsi="Tahoma" w:cs="Tahoma"/>
          <w:sz w:val="20"/>
          <w:szCs w:val="20"/>
          <w:u w:val="single"/>
        </w:rPr>
        <w:t xml:space="preserve"> for Papers</w:t>
      </w:r>
      <w:r w:rsidRPr="00BA1A3D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9D16CB" w:rsidRPr="00BA1A3D" w:rsidRDefault="00E966A4">
      <w:pPr>
        <w:rPr>
          <w:rFonts w:ascii="Tahoma" w:hAnsi="Tahoma" w:cs="Tahoma"/>
          <w:sz w:val="20"/>
          <w:szCs w:val="20"/>
        </w:rPr>
      </w:pPr>
      <w:r w:rsidRPr="00BA1A3D">
        <w:rPr>
          <w:rFonts w:ascii="Tahoma" w:hAnsi="Tahoma" w:cs="Tahoma"/>
          <w:sz w:val="20"/>
          <w:szCs w:val="20"/>
        </w:rPr>
        <w:t>Quality Office</w:t>
      </w:r>
    </w:p>
    <w:p w:rsidR="00B854B8" w:rsidRPr="00BA1A3D" w:rsidRDefault="007F7C9E">
      <w:pPr>
        <w:rPr>
          <w:rFonts w:ascii="Tahoma" w:hAnsi="Tahoma" w:cs="Tahoma"/>
          <w:sz w:val="18"/>
          <w:szCs w:val="18"/>
          <w:lang w:eastAsia="en-GB"/>
        </w:rPr>
      </w:pPr>
      <w:r w:rsidRPr="00BA1A3D">
        <w:rPr>
          <w:rFonts w:ascii="Tahoma" w:hAnsi="Tahoma" w:cs="Tahoma"/>
          <w:i/>
          <w:sz w:val="18"/>
          <w:szCs w:val="18"/>
        </w:rPr>
        <w:t>Revised</w:t>
      </w:r>
      <w:r w:rsidR="00196F6F" w:rsidRPr="00BA1A3D">
        <w:rPr>
          <w:rFonts w:ascii="Tahoma" w:hAnsi="Tahoma" w:cs="Tahoma"/>
          <w:i/>
          <w:sz w:val="18"/>
          <w:szCs w:val="18"/>
        </w:rPr>
        <w:t xml:space="preserve">: </w:t>
      </w:r>
      <w:r w:rsidR="00D3440E" w:rsidRPr="00BA1A3D">
        <w:rPr>
          <w:rFonts w:ascii="Tahoma" w:hAnsi="Tahoma" w:cs="Tahoma"/>
          <w:i/>
          <w:sz w:val="18"/>
          <w:szCs w:val="18"/>
        </w:rPr>
        <w:t>September 2019</w:t>
      </w:r>
      <w:r w:rsidR="00196F6F" w:rsidRPr="00BA1A3D">
        <w:rPr>
          <w:rFonts w:ascii="Tahoma" w:hAnsi="Tahoma" w:cs="Tahoma"/>
          <w:i/>
          <w:sz w:val="18"/>
          <w:szCs w:val="18"/>
        </w:rPr>
        <w:t xml:space="preserve"> (RSTG/1</w:t>
      </w:r>
      <w:r w:rsidR="00D3440E" w:rsidRPr="00BA1A3D">
        <w:rPr>
          <w:rFonts w:ascii="Tahoma" w:hAnsi="Tahoma" w:cs="Tahoma"/>
          <w:i/>
          <w:sz w:val="18"/>
          <w:szCs w:val="18"/>
        </w:rPr>
        <w:t>1</w:t>
      </w:r>
      <w:r w:rsidR="00196F6F" w:rsidRPr="00BA1A3D">
        <w:rPr>
          <w:rFonts w:ascii="Tahoma" w:hAnsi="Tahoma" w:cs="Tahoma"/>
          <w:i/>
          <w:sz w:val="18"/>
          <w:szCs w:val="18"/>
        </w:rPr>
        <w:t>/M)</w:t>
      </w:r>
      <w:r w:rsidR="007C35E5" w:rsidRPr="00BA1A3D">
        <w:rPr>
          <w:rFonts w:ascii="Tahoma" w:hAnsi="Tahoma" w:cs="Tahoma"/>
          <w:i/>
          <w:sz w:val="18"/>
          <w:szCs w:val="18"/>
        </w:rPr>
        <w:br/>
        <w:t>Approved: October 2019 (via correspondence)</w:t>
      </w:r>
    </w:p>
    <w:sectPr w:rsidR="00B854B8" w:rsidRPr="00BA1A3D" w:rsidSect="009D16CB">
      <w:footerReference w:type="default" r:id="rId11"/>
      <w:pgSz w:w="11906" w:h="16838"/>
      <w:pgMar w:top="1985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A4" w:rsidRDefault="00E966A4" w:rsidP="002608C8">
      <w:pPr>
        <w:spacing w:after="0" w:line="240" w:lineRule="auto"/>
      </w:pPr>
      <w:r>
        <w:separator/>
      </w:r>
    </w:p>
  </w:endnote>
  <w:endnote w:type="continuationSeparator" w:id="0">
    <w:p w:rsidR="00E966A4" w:rsidRDefault="00E966A4" w:rsidP="0026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76385"/>
      <w:docPartObj>
        <w:docPartGallery w:val="Page Numbers (Bottom of Page)"/>
        <w:docPartUnique/>
      </w:docPartObj>
    </w:sdtPr>
    <w:sdtContent>
      <w:p w:rsidR="00BA1A3D" w:rsidRDefault="00BA1A3D" w:rsidP="00BA1A3D">
        <w:pPr>
          <w:pStyle w:val="Footer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Terms of Reference 2019/20 – </w:t>
        </w:r>
        <w:r>
          <w:rPr>
            <w:rFonts w:ascii="Tahoma" w:hAnsi="Tahoma" w:cs="Tahoma"/>
            <w:sz w:val="18"/>
            <w:szCs w:val="18"/>
          </w:rPr>
          <w:t>Retention and Success Task Group</w:t>
        </w:r>
        <w:r>
          <w:rPr>
            <w:rFonts w:ascii="Tahoma" w:hAnsi="Tahoma" w:cs="Tahoma"/>
            <w:sz w:val="18"/>
            <w:szCs w:val="18"/>
          </w:rPr>
          <w:t xml:space="preserve"> </w:t>
        </w:r>
        <w:r>
          <w:rPr>
            <w:rFonts w:ascii="Tahoma" w:hAnsi="Tahoma" w:cs="Tahoma"/>
            <w:sz w:val="18"/>
            <w:szCs w:val="18"/>
          </w:rPr>
          <w:tab/>
          <w:t xml:space="preserve">Page </w:t>
        </w:r>
        <w:r>
          <w:rPr>
            <w:rFonts w:ascii="Tahoma" w:hAnsi="Tahoma" w:cs="Tahoma"/>
            <w:sz w:val="18"/>
            <w:szCs w:val="18"/>
          </w:rPr>
          <w:fldChar w:fldCharType="begin"/>
        </w:r>
        <w:r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3</w:t>
        </w:r>
        <w:r>
          <w:rPr>
            <w:rFonts w:ascii="Tahoma" w:hAnsi="Tahoma" w:cs="Tahoma"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of </w:t>
        </w:r>
        <w:r>
          <w:rPr>
            <w:rFonts w:ascii="Tahoma" w:hAnsi="Tahoma" w:cs="Tahoma"/>
            <w:sz w:val="18"/>
            <w:szCs w:val="18"/>
          </w:rPr>
          <w:fldChar w:fldCharType="begin"/>
        </w:r>
        <w:r>
          <w:rPr>
            <w:rFonts w:ascii="Tahoma" w:hAnsi="Tahoma" w:cs="Tahoma"/>
            <w:sz w:val="18"/>
            <w:szCs w:val="18"/>
          </w:rPr>
          <w:instrText xml:space="preserve"> NUMPAGES   \* MERGEFORMAT </w:instrText>
        </w:r>
        <w:r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3</w:t>
        </w:r>
        <w:r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A4" w:rsidRDefault="00E966A4" w:rsidP="002608C8">
      <w:pPr>
        <w:spacing w:after="0" w:line="240" w:lineRule="auto"/>
      </w:pPr>
      <w:r>
        <w:separator/>
      </w:r>
    </w:p>
  </w:footnote>
  <w:footnote w:type="continuationSeparator" w:id="0">
    <w:p w:rsidR="00E966A4" w:rsidRDefault="00E966A4" w:rsidP="002608C8">
      <w:pPr>
        <w:spacing w:after="0" w:line="240" w:lineRule="auto"/>
      </w:pPr>
      <w:r>
        <w:continuationSeparator/>
      </w:r>
    </w:p>
  </w:footnote>
  <w:footnote w:id="1">
    <w:p w:rsidR="00E966A4" w:rsidRPr="00E43115" w:rsidRDefault="00E966A4">
      <w:pPr>
        <w:pStyle w:val="FootnoteText"/>
        <w:rPr>
          <w:rFonts w:ascii="Tahoma" w:hAnsi="Tahoma" w:cs="Tahoma"/>
          <w:sz w:val="18"/>
          <w:szCs w:val="18"/>
        </w:rPr>
      </w:pPr>
      <w:r w:rsidRPr="00E43115">
        <w:rPr>
          <w:rStyle w:val="FootnoteReference"/>
          <w:rFonts w:ascii="Tahoma" w:hAnsi="Tahoma" w:cs="Tahoma"/>
          <w:sz w:val="18"/>
          <w:szCs w:val="18"/>
        </w:rPr>
        <w:footnoteRef/>
      </w:r>
      <w:r w:rsidRPr="00E43115">
        <w:rPr>
          <w:rFonts w:ascii="Tahoma" w:hAnsi="Tahoma" w:cs="Tahoma"/>
          <w:sz w:val="18"/>
          <w:szCs w:val="18"/>
        </w:rPr>
        <w:t xml:space="preserve"> ‘Success’ in this context relates to students leaving Newman with their target qualification.  Post-graduation outcomes fall under the remit of the Employability Task Group.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02BA"/>
    <w:multiLevelType w:val="hybridMultilevel"/>
    <w:tmpl w:val="7EF03ECA"/>
    <w:lvl w:ilvl="0" w:tplc="BC127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6857"/>
    <w:multiLevelType w:val="hybridMultilevel"/>
    <w:tmpl w:val="2860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1E2F"/>
    <w:multiLevelType w:val="hybridMultilevel"/>
    <w:tmpl w:val="F73075E0"/>
    <w:lvl w:ilvl="0" w:tplc="790AEA4C">
      <w:start w:val="1"/>
      <w:numFmt w:val="lowerLetter"/>
      <w:lvlText w:val="%1)"/>
      <w:lvlJc w:val="left"/>
      <w:pPr>
        <w:ind w:left="1429" w:hanging="360"/>
      </w:pPr>
      <w:rPr>
        <w:rFonts w:ascii="Tahoma" w:eastAsiaTheme="minorHAnsi" w:hAnsi="Tahoma" w:cs="Tahoma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6F0587"/>
    <w:multiLevelType w:val="hybridMultilevel"/>
    <w:tmpl w:val="8ABEFC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97628"/>
    <w:multiLevelType w:val="hybridMultilevel"/>
    <w:tmpl w:val="51A8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299F"/>
    <w:multiLevelType w:val="hybridMultilevel"/>
    <w:tmpl w:val="D5387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46D36"/>
    <w:multiLevelType w:val="hybridMultilevel"/>
    <w:tmpl w:val="125EDBC6"/>
    <w:lvl w:ilvl="0" w:tplc="22D0F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5D3"/>
    <w:multiLevelType w:val="hybridMultilevel"/>
    <w:tmpl w:val="8BB89D12"/>
    <w:lvl w:ilvl="0" w:tplc="22D0F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A4"/>
    <w:rsid w:val="00046449"/>
    <w:rsid w:val="000D453E"/>
    <w:rsid w:val="0014207F"/>
    <w:rsid w:val="00196F6F"/>
    <w:rsid w:val="0021110E"/>
    <w:rsid w:val="00225A46"/>
    <w:rsid w:val="00233D6B"/>
    <w:rsid w:val="002608C8"/>
    <w:rsid w:val="00285058"/>
    <w:rsid w:val="00291C4A"/>
    <w:rsid w:val="00306983"/>
    <w:rsid w:val="003D3EF8"/>
    <w:rsid w:val="003D6A11"/>
    <w:rsid w:val="004445BE"/>
    <w:rsid w:val="004B1235"/>
    <w:rsid w:val="004E7783"/>
    <w:rsid w:val="006A71EC"/>
    <w:rsid w:val="006D2AB1"/>
    <w:rsid w:val="00747217"/>
    <w:rsid w:val="00771A26"/>
    <w:rsid w:val="007C35E5"/>
    <w:rsid w:val="007F7C9E"/>
    <w:rsid w:val="00822C3E"/>
    <w:rsid w:val="00835635"/>
    <w:rsid w:val="008A4F11"/>
    <w:rsid w:val="008A63DA"/>
    <w:rsid w:val="009A21C6"/>
    <w:rsid w:val="009D16CB"/>
    <w:rsid w:val="00A82C19"/>
    <w:rsid w:val="00A93142"/>
    <w:rsid w:val="00B854B8"/>
    <w:rsid w:val="00BA1A3D"/>
    <w:rsid w:val="00BB5037"/>
    <w:rsid w:val="00BE3202"/>
    <w:rsid w:val="00C065DF"/>
    <w:rsid w:val="00C42C1E"/>
    <w:rsid w:val="00C47CA5"/>
    <w:rsid w:val="00CF3D62"/>
    <w:rsid w:val="00D20607"/>
    <w:rsid w:val="00D3440E"/>
    <w:rsid w:val="00D43B23"/>
    <w:rsid w:val="00D6189D"/>
    <w:rsid w:val="00E43115"/>
    <w:rsid w:val="00E62063"/>
    <w:rsid w:val="00E84FC5"/>
    <w:rsid w:val="00E966A4"/>
    <w:rsid w:val="00F10D00"/>
    <w:rsid w:val="00F17ECA"/>
    <w:rsid w:val="00F23E29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5398D"/>
  <w15:docId w15:val="{66475C65-A00F-487A-BD87-87B8461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8C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C8"/>
  </w:style>
  <w:style w:type="paragraph" w:styleId="Footer">
    <w:name w:val="footer"/>
    <w:basedOn w:val="Normal"/>
    <w:link w:val="FooterChar"/>
    <w:uiPriority w:val="99"/>
    <w:unhideWhenUsed/>
    <w:rsid w:val="0026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C8"/>
  </w:style>
  <w:style w:type="paragraph" w:styleId="ListParagraph">
    <w:name w:val="List Paragraph"/>
    <w:basedOn w:val="Normal"/>
    <w:uiPriority w:val="34"/>
    <w:qFormat/>
    <w:rsid w:val="00E966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6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6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fficeforstudents.org.uk/advice-and-guidance/regulation/conditions-of-registration/initial-and-general-ongoing-conditions-of-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forstudents.org.uk/advice-and-guidance/regulation/conditions-of-registration/initial-and-general-ongoing-conditions-of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D9D8-687B-4F64-B97D-B5243C80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Davis Wood</dc:creator>
  <cp:lastModifiedBy>Jennifer Perkins</cp:lastModifiedBy>
  <cp:revision>7</cp:revision>
  <cp:lastPrinted>2020-01-03T13:21:00Z</cp:lastPrinted>
  <dcterms:created xsi:type="dcterms:W3CDTF">2020-01-03T13:21:00Z</dcterms:created>
  <dcterms:modified xsi:type="dcterms:W3CDTF">2020-02-12T12:13:00Z</dcterms:modified>
</cp:coreProperties>
</file>