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876465" w:rsidRPr="00962F12" w:rsidTr="007C0F2F">
        <w:trPr>
          <w:trHeight w:val="803"/>
        </w:trPr>
        <w:tc>
          <w:tcPr>
            <w:tcW w:w="8528" w:type="dxa"/>
            <w:shd w:val="clear" w:color="auto" w:fill="auto"/>
          </w:tcPr>
          <w:p w:rsidR="00876465" w:rsidRPr="00962F12" w:rsidRDefault="00876465" w:rsidP="007C0F2F">
            <w:pPr>
              <w:pStyle w:val="NoSpacing"/>
              <w:jc w:val="center"/>
              <w:rPr>
                <w:rFonts w:ascii="Tahoma" w:hAnsi="Tahoma" w:cs="Tahoma"/>
                <w:b/>
                <w:bCs/>
                <w:color w:val="000000"/>
              </w:rPr>
            </w:pPr>
            <w:r w:rsidRPr="00962F12">
              <w:rPr>
                <w:rFonts w:ascii="Tahoma" w:hAnsi="Tahoma" w:cs="Tahoma"/>
                <w:b/>
                <w:bCs/>
                <w:color w:val="000000"/>
              </w:rPr>
              <w:t>Newman University</w:t>
            </w:r>
          </w:p>
          <w:p w:rsidR="00876465" w:rsidRPr="00962F12" w:rsidRDefault="00876465" w:rsidP="007C0F2F">
            <w:pPr>
              <w:pStyle w:val="NoSpacing"/>
              <w:jc w:val="center"/>
              <w:rPr>
                <w:rFonts w:ascii="Tahoma" w:hAnsi="Tahoma" w:cs="Tahoma"/>
                <w:b/>
                <w:bCs/>
                <w:color w:val="000000"/>
              </w:rPr>
            </w:pPr>
          </w:p>
          <w:p w:rsidR="00876465" w:rsidRPr="00962F12" w:rsidRDefault="00876465" w:rsidP="007C0F2F">
            <w:pPr>
              <w:pStyle w:val="NoSpacing"/>
              <w:jc w:val="center"/>
              <w:rPr>
                <w:rFonts w:ascii="Tahoma" w:hAnsi="Tahoma" w:cs="Tahoma"/>
                <w:b/>
                <w:sz w:val="28"/>
              </w:rPr>
            </w:pPr>
            <w:r w:rsidRPr="00962F12">
              <w:rPr>
                <w:rFonts w:ascii="Tahoma" w:hAnsi="Tahoma" w:cs="Tahoma"/>
                <w:b/>
                <w:sz w:val="28"/>
              </w:rPr>
              <w:t>Childcare (Disqualification) Regulations 2009</w:t>
            </w:r>
          </w:p>
          <w:p w:rsidR="00876465" w:rsidRPr="00962F12" w:rsidRDefault="00876465" w:rsidP="007C0F2F">
            <w:pPr>
              <w:pStyle w:val="NoSpacing"/>
              <w:jc w:val="center"/>
              <w:rPr>
                <w:rFonts w:ascii="Tahoma" w:hAnsi="Tahoma" w:cs="Tahoma"/>
                <w:b/>
                <w:bCs/>
                <w:color w:val="000000"/>
                <w:sz w:val="28"/>
                <w:szCs w:val="28"/>
              </w:rPr>
            </w:pPr>
            <w:r w:rsidRPr="00962F12">
              <w:rPr>
                <w:rFonts w:ascii="Tahoma" w:hAnsi="Tahoma" w:cs="Tahoma"/>
                <w:b/>
                <w:sz w:val="28"/>
              </w:rPr>
              <w:t>Student Declaration Guidance</w:t>
            </w:r>
          </w:p>
        </w:tc>
      </w:tr>
    </w:tbl>
    <w:p w:rsidR="00876465" w:rsidRPr="00962F12" w:rsidRDefault="00876465" w:rsidP="00876465">
      <w:pPr>
        <w:autoSpaceDE w:val="0"/>
        <w:autoSpaceDN w:val="0"/>
        <w:adjustRightInd w:val="0"/>
        <w:rPr>
          <w:rFonts w:ascii="Tahoma" w:hAnsi="Tahoma" w:cs="Tahoma"/>
          <w:b/>
          <w:bCs/>
          <w:color w:val="000000"/>
          <w:sz w:val="28"/>
          <w:szCs w:val="28"/>
        </w:rPr>
      </w:pPr>
    </w:p>
    <w:p w:rsidR="00876465" w:rsidRPr="00962F12" w:rsidRDefault="00876465" w:rsidP="00876465">
      <w:pPr>
        <w:rPr>
          <w:rFonts w:ascii="Tahoma" w:hAnsi="Tahoma" w:cs="Tahoma"/>
          <w:color w:val="000000"/>
        </w:rPr>
      </w:pPr>
      <w:r w:rsidRPr="00962F12">
        <w:rPr>
          <w:rFonts w:ascii="Tahoma" w:hAnsi="Tahoma" w:cs="Tahoma"/>
          <w:color w:val="000000"/>
        </w:rPr>
        <w:t xml:space="preserve">In February 2015 the </w:t>
      </w:r>
      <w:proofErr w:type="spellStart"/>
      <w:r w:rsidRPr="00962F12">
        <w:rPr>
          <w:rFonts w:ascii="Tahoma" w:hAnsi="Tahoma" w:cs="Tahoma"/>
          <w:color w:val="000000"/>
        </w:rPr>
        <w:t>DfE</w:t>
      </w:r>
      <w:proofErr w:type="spellEnd"/>
      <w:r w:rsidRPr="00962F12">
        <w:rPr>
          <w:rFonts w:ascii="Tahoma" w:hAnsi="Tahoma" w:cs="Tahoma"/>
          <w:color w:val="000000"/>
        </w:rPr>
        <w:t xml:space="preserve"> </w:t>
      </w:r>
      <w:r>
        <w:rPr>
          <w:rFonts w:ascii="Tahoma" w:hAnsi="Tahoma" w:cs="Tahoma"/>
          <w:color w:val="000000"/>
        </w:rPr>
        <w:t xml:space="preserve">Department for Education </w:t>
      </w:r>
      <w:r w:rsidRPr="00962F12">
        <w:rPr>
          <w:rFonts w:ascii="Tahoma" w:hAnsi="Tahoma" w:cs="Tahoma"/>
          <w:color w:val="000000"/>
        </w:rPr>
        <w:t xml:space="preserve">published updated guidance which requires schools and other educational settings which provide care for pupils under the age of 8, to ensure that </w:t>
      </w:r>
      <w:proofErr w:type="gramStart"/>
      <w:r w:rsidRPr="00962F12">
        <w:rPr>
          <w:rFonts w:ascii="Tahoma" w:hAnsi="Tahoma" w:cs="Tahoma"/>
          <w:color w:val="000000"/>
        </w:rPr>
        <w:t>staff working in these settings are</w:t>
      </w:r>
      <w:proofErr w:type="gramEnd"/>
      <w:r w:rsidRPr="00962F12">
        <w:rPr>
          <w:rFonts w:ascii="Tahoma" w:hAnsi="Tahoma" w:cs="Tahoma"/>
          <w:color w:val="000000"/>
        </w:rPr>
        <w:t xml:space="preserve"> not disqualified from doing so under the Childcare (Disqualification) Regulations 2009:</w:t>
      </w:r>
    </w:p>
    <w:p w:rsidR="00876465" w:rsidRPr="00962F12" w:rsidRDefault="00876465" w:rsidP="00876465">
      <w:pPr>
        <w:autoSpaceDE w:val="0"/>
        <w:autoSpaceDN w:val="0"/>
        <w:adjustRightInd w:val="0"/>
        <w:rPr>
          <w:rFonts w:ascii="Tahoma" w:hAnsi="Tahoma" w:cs="Tahoma"/>
          <w:color w:val="000000"/>
        </w:rPr>
      </w:pPr>
    </w:p>
    <w:p w:rsidR="00876465" w:rsidRPr="00962F12" w:rsidRDefault="00876465" w:rsidP="00876465">
      <w:pPr>
        <w:rPr>
          <w:rFonts w:ascii="Tahoma" w:hAnsi="Tahoma" w:cs="Tahoma"/>
        </w:rPr>
      </w:pPr>
      <w:r>
        <w:rPr>
          <w:rFonts w:ascii="Tahoma" w:hAnsi="Tahoma" w:cs="Tahoma"/>
        </w:rPr>
        <w:t xml:space="preserve">A </w:t>
      </w:r>
      <w:r w:rsidRPr="00962F12">
        <w:rPr>
          <w:rFonts w:ascii="Tahoma" w:hAnsi="Tahoma" w:cs="Tahoma"/>
        </w:rPr>
        <w:t>person may be disqualified through:</w:t>
      </w:r>
    </w:p>
    <w:p w:rsidR="00876465" w:rsidRPr="00962F12" w:rsidRDefault="00876465" w:rsidP="00876465">
      <w:pPr>
        <w:pStyle w:val="ListParagraph"/>
        <w:numPr>
          <w:ilvl w:val="0"/>
          <w:numId w:val="1"/>
        </w:numPr>
        <w:spacing w:after="0" w:line="240" w:lineRule="auto"/>
        <w:rPr>
          <w:rFonts w:ascii="Tahoma" w:hAnsi="Tahoma" w:cs="Tahoma"/>
        </w:rPr>
      </w:pPr>
      <w:r w:rsidRPr="00962F12">
        <w:rPr>
          <w:rFonts w:ascii="Tahoma" w:hAnsi="Tahoma" w:cs="Tahoma"/>
        </w:rPr>
        <w:t>having certain court orders or other restrictions placed upon them</w:t>
      </w:r>
    </w:p>
    <w:p w:rsidR="00876465" w:rsidRPr="00962F12" w:rsidRDefault="00876465" w:rsidP="00876465">
      <w:pPr>
        <w:pStyle w:val="ListParagraph"/>
        <w:numPr>
          <w:ilvl w:val="0"/>
          <w:numId w:val="1"/>
        </w:numPr>
        <w:spacing w:after="0" w:line="240" w:lineRule="auto"/>
        <w:rPr>
          <w:rFonts w:ascii="Tahoma" w:hAnsi="Tahoma" w:cs="Tahoma"/>
        </w:rPr>
      </w:pPr>
      <w:r w:rsidRPr="00962F12">
        <w:rPr>
          <w:rFonts w:ascii="Tahoma" w:hAnsi="Tahoma" w:cs="Tahoma"/>
        </w:rPr>
        <w:t>having committed certain offences</w:t>
      </w:r>
    </w:p>
    <w:p w:rsidR="00876465" w:rsidRPr="00962F12" w:rsidRDefault="00876465" w:rsidP="00876465">
      <w:pPr>
        <w:numPr>
          <w:ilvl w:val="0"/>
          <w:numId w:val="1"/>
        </w:numPr>
        <w:rPr>
          <w:rFonts w:ascii="Tahoma" w:hAnsi="Tahoma" w:cs="Tahoma"/>
        </w:rPr>
      </w:pPr>
      <w:proofErr w:type="gramStart"/>
      <w:r w:rsidRPr="00962F12">
        <w:rPr>
          <w:rFonts w:ascii="Tahoma" w:hAnsi="Tahoma" w:cs="Tahoma"/>
        </w:rPr>
        <w:t>living</w:t>
      </w:r>
      <w:proofErr w:type="gramEnd"/>
      <w:r w:rsidRPr="00962F12">
        <w:rPr>
          <w:rFonts w:ascii="Tahoma" w:hAnsi="Tahoma" w:cs="Tahoma"/>
        </w:rPr>
        <w:t xml:space="preserve"> in the same household as someone who is disqualified by virtue of 1 or 2 above - this is known as disqualification by association.</w:t>
      </w:r>
    </w:p>
    <w:p w:rsidR="00876465" w:rsidRPr="00962F12" w:rsidRDefault="00876465" w:rsidP="00876465">
      <w:pPr>
        <w:autoSpaceDE w:val="0"/>
        <w:autoSpaceDN w:val="0"/>
        <w:adjustRightInd w:val="0"/>
        <w:rPr>
          <w:rFonts w:ascii="Tahoma" w:hAnsi="Tahoma" w:cs="Tahoma"/>
          <w:b/>
          <w:bCs/>
          <w:color w:val="000000"/>
        </w:rPr>
      </w:pPr>
    </w:p>
    <w:p w:rsidR="00876465" w:rsidRPr="00962F12" w:rsidRDefault="00876465" w:rsidP="00876465">
      <w:pPr>
        <w:autoSpaceDE w:val="0"/>
        <w:autoSpaceDN w:val="0"/>
        <w:adjustRightInd w:val="0"/>
        <w:rPr>
          <w:rFonts w:ascii="Tahoma" w:hAnsi="Tahoma" w:cs="Tahoma"/>
          <w:color w:val="000000"/>
        </w:rPr>
      </w:pPr>
      <w:r w:rsidRPr="00962F12">
        <w:rPr>
          <w:rFonts w:ascii="Tahoma" w:hAnsi="Tahoma" w:cs="Tahoma"/>
          <w:b/>
          <w:bCs/>
          <w:color w:val="000000"/>
        </w:rPr>
        <w:t>The Regulations prohibit anyone who is disqualified themselves under the Regulations, or who lives in the same household as a disqualified person, from working in a relevant setting, including in schools</w:t>
      </w:r>
      <w:r w:rsidRPr="00962F12">
        <w:rPr>
          <w:rFonts w:ascii="Tahoma" w:hAnsi="Tahoma" w:cs="Tahoma"/>
          <w:color w:val="000000"/>
        </w:rPr>
        <w:t>.</w:t>
      </w:r>
    </w:p>
    <w:p w:rsidR="00876465" w:rsidRPr="00962F12" w:rsidRDefault="00876465" w:rsidP="00876465">
      <w:pPr>
        <w:autoSpaceDE w:val="0"/>
        <w:autoSpaceDN w:val="0"/>
        <w:adjustRightInd w:val="0"/>
        <w:rPr>
          <w:rFonts w:ascii="Tahoma" w:hAnsi="Tahoma" w:cs="Tahoma"/>
          <w:color w:val="000000"/>
        </w:rPr>
      </w:pPr>
    </w:p>
    <w:p w:rsidR="00876465" w:rsidRPr="00962F12" w:rsidRDefault="00876465" w:rsidP="00876465">
      <w:pPr>
        <w:rPr>
          <w:rFonts w:ascii="Tahoma" w:hAnsi="Tahoma" w:cs="Tahoma"/>
          <w:color w:val="000000"/>
        </w:rPr>
      </w:pPr>
      <w:r w:rsidRPr="00962F12">
        <w:rPr>
          <w:rFonts w:ascii="Tahoma" w:hAnsi="Tahoma" w:cs="Tahoma"/>
        </w:rPr>
        <w:t>In order to comply with the Childcare (Disqualification) Regulations 2009, Initial Teacher Training Providers (such as Newman University) must ensure that students placed in the following provision are not disqualified from working with children:</w:t>
      </w:r>
      <w:r w:rsidRPr="00962F12">
        <w:rPr>
          <w:rFonts w:ascii="Tahoma" w:hAnsi="Tahoma" w:cs="Tahoma"/>
          <w:color w:val="000000"/>
        </w:rPr>
        <w:t xml:space="preserve"> </w:t>
      </w:r>
    </w:p>
    <w:p w:rsidR="00876465" w:rsidRPr="00962F12" w:rsidRDefault="00876465" w:rsidP="00876465">
      <w:pPr>
        <w:pStyle w:val="Default"/>
        <w:rPr>
          <w:rFonts w:ascii="Tahoma" w:hAnsi="Tahoma" w:cs="Tahoma"/>
          <w:sz w:val="23"/>
          <w:szCs w:val="23"/>
        </w:rPr>
      </w:pPr>
    </w:p>
    <w:p w:rsidR="00876465" w:rsidRPr="00962F12" w:rsidRDefault="00876465" w:rsidP="00876465">
      <w:pPr>
        <w:pStyle w:val="Default"/>
        <w:rPr>
          <w:rFonts w:ascii="Tahoma" w:hAnsi="Tahoma" w:cs="Tahoma"/>
          <w:sz w:val="23"/>
          <w:szCs w:val="23"/>
        </w:rPr>
      </w:pPr>
      <w:r w:rsidRPr="00962F12">
        <w:rPr>
          <w:rFonts w:ascii="Tahoma" w:hAnsi="Tahoma" w:cs="Tahoma"/>
          <w:sz w:val="23"/>
          <w:szCs w:val="23"/>
        </w:rPr>
        <w:t>Routes covering 3-5 age range</w:t>
      </w:r>
    </w:p>
    <w:p w:rsidR="00876465" w:rsidRPr="00962F12" w:rsidRDefault="00876465" w:rsidP="00876465">
      <w:pPr>
        <w:pStyle w:val="Default"/>
        <w:rPr>
          <w:rFonts w:ascii="Tahoma" w:hAnsi="Tahoma" w:cs="Tahoma"/>
          <w:sz w:val="23"/>
          <w:szCs w:val="23"/>
        </w:rPr>
      </w:pPr>
      <w:r w:rsidRPr="00962F12">
        <w:rPr>
          <w:rFonts w:ascii="Tahoma" w:hAnsi="Tahoma" w:cs="Tahoma"/>
          <w:sz w:val="23"/>
          <w:szCs w:val="23"/>
        </w:rPr>
        <w:t>Programmes involvin</w:t>
      </w:r>
      <w:r>
        <w:rPr>
          <w:rFonts w:ascii="Tahoma" w:hAnsi="Tahoma" w:cs="Tahoma"/>
          <w:sz w:val="23"/>
          <w:szCs w:val="23"/>
        </w:rPr>
        <w:t xml:space="preserve">g the provision of support for </w:t>
      </w:r>
      <w:r w:rsidRPr="00962F12">
        <w:rPr>
          <w:rFonts w:ascii="Tahoma" w:hAnsi="Tahoma" w:cs="Tahoma"/>
          <w:sz w:val="23"/>
          <w:szCs w:val="23"/>
        </w:rPr>
        <w:t>children up to the age of 8</w:t>
      </w:r>
    </w:p>
    <w:p w:rsidR="00876465" w:rsidRPr="00962F12" w:rsidRDefault="00876465" w:rsidP="00876465">
      <w:pPr>
        <w:pStyle w:val="Default"/>
        <w:rPr>
          <w:rFonts w:ascii="Tahoma" w:hAnsi="Tahoma" w:cs="Tahoma"/>
          <w:sz w:val="23"/>
          <w:szCs w:val="23"/>
        </w:rPr>
      </w:pPr>
    </w:p>
    <w:p w:rsidR="00876465" w:rsidRPr="00962F12" w:rsidRDefault="00876465" w:rsidP="00876465">
      <w:pPr>
        <w:rPr>
          <w:rFonts w:ascii="Tahoma" w:hAnsi="Tahoma" w:cs="Tahoma"/>
        </w:rPr>
      </w:pPr>
      <w:r>
        <w:rPr>
          <w:rFonts w:ascii="Tahoma" w:hAnsi="Tahoma" w:cs="Tahoma"/>
        </w:rPr>
        <w:t xml:space="preserve">Schools are requiring </w:t>
      </w:r>
      <w:r w:rsidRPr="000F7868">
        <w:rPr>
          <w:rFonts w:ascii="Tahoma" w:hAnsi="Tahoma" w:cs="Tahoma"/>
          <w:u w:val="single"/>
        </w:rPr>
        <w:t>all</w:t>
      </w:r>
      <w:r>
        <w:rPr>
          <w:rFonts w:ascii="Tahoma" w:hAnsi="Tahoma" w:cs="Tahoma"/>
        </w:rPr>
        <w:t xml:space="preserve"> Teachers and student teachers to make a statement about disqualifications and s</w:t>
      </w:r>
      <w:r w:rsidRPr="00962F12">
        <w:rPr>
          <w:rFonts w:ascii="Tahoma" w:hAnsi="Tahoma" w:cs="Tahoma"/>
        </w:rPr>
        <w:t>tudent</w:t>
      </w:r>
      <w:r>
        <w:rPr>
          <w:rFonts w:ascii="Tahoma" w:hAnsi="Tahoma" w:cs="Tahoma"/>
        </w:rPr>
        <w:t>s</w:t>
      </w:r>
      <w:r w:rsidRPr="00962F12">
        <w:rPr>
          <w:rFonts w:ascii="Tahoma" w:hAnsi="Tahoma" w:cs="Tahoma"/>
        </w:rPr>
        <w:t xml:space="preserve"> must complete the declaration below. </w:t>
      </w:r>
    </w:p>
    <w:p w:rsidR="00876465" w:rsidRPr="00962F12" w:rsidRDefault="00876465" w:rsidP="00876465">
      <w:pPr>
        <w:rPr>
          <w:rFonts w:ascii="Tahoma" w:hAnsi="Tahoma" w:cs="Tahoma"/>
        </w:rPr>
      </w:pPr>
    </w:p>
    <w:p w:rsidR="00876465" w:rsidRPr="00962F12" w:rsidRDefault="00876465" w:rsidP="00876465">
      <w:pPr>
        <w:rPr>
          <w:rFonts w:ascii="Tahoma" w:hAnsi="Tahoma" w:cs="Tahoma"/>
        </w:rPr>
      </w:pPr>
      <w:r w:rsidRPr="00962F12">
        <w:rPr>
          <w:rFonts w:ascii="Tahoma" w:hAnsi="Tahoma" w:cs="Tahoma"/>
        </w:rPr>
        <w:t>The University is compelled to ask for th</w:t>
      </w:r>
      <w:r>
        <w:rPr>
          <w:rFonts w:ascii="Tahoma" w:hAnsi="Tahoma" w:cs="Tahoma"/>
        </w:rPr>
        <w:t>is</w:t>
      </w:r>
      <w:r w:rsidRPr="00962F12">
        <w:rPr>
          <w:rFonts w:ascii="Tahoma" w:hAnsi="Tahoma" w:cs="Tahoma"/>
        </w:rPr>
        <w:t xml:space="preserve"> information, which </w:t>
      </w:r>
      <w:proofErr w:type="gramStart"/>
      <w:r w:rsidRPr="00962F12">
        <w:rPr>
          <w:rFonts w:ascii="Tahoma" w:hAnsi="Tahoma" w:cs="Tahoma"/>
        </w:rPr>
        <w:t>is separate from any other information already</w:t>
      </w:r>
      <w:proofErr w:type="gramEnd"/>
      <w:r w:rsidRPr="00962F12">
        <w:rPr>
          <w:rFonts w:ascii="Tahoma" w:hAnsi="Tahoma" w:cs="Tahoma"/>
        </w:rPr>
        <w:t xml:space="preserve"> provided (e.g. DBS check) and students must </w:t>
      </w:r>
      <w:r>
        <w:rPr>
          <w:rFonts w:ascii="Tahoma" w:hAnsi="Tahoma" w:cs="Tahoma"/>
        </w:rPr>
        <w:t>answer the questions</w:t>
      </w:r>
      <w:r w:rsidRPr="00962F12">
        <w:rPr>
          <w:rFonts w:ascii="Tahoma" w:hAnsi="Tahoma" w:cs="Tahoma"/>
        </w:rPr>
        <w:t xml:space="preserve"> with accurate information. </w:t>
      </w:r>
    </w:p>
    <w:p w:rsidR="00876465" w:rsidRPr="00962F12" w:rsidRDefault="00876465" w:rsidP="00876465">
      <w:pPr>
        <w:rPr>
          <w:rFonts w:ascii="Tahoma" w:hAnsi="Tahoma" w:cs="Tahoma"/>
        </w:rPr>
      </w:pPr>
    </w:p>
    <w:p w:rsidR="00876465" w:rsidRDefault="00876465" w:rsidP="00876465">
      <w:pPr>
        <w:autoSpaceDE w:val="0"/>
        <w:autoSpaceDN w:val="0"/>
        <w:adjustRightInd w:val="0"/>
        <w:rPr>
          <w:rFonts w:ascii="Tahoma" w:hAnsi="Tahoma" w:cs="Tahoma"/>
          <w:color w:val="000000"/>
        </w:rPr>
      </w:pPr>
      <w:r w:rsidRPr="00962F12">
        <w:rPr>
          <w:rFonts w:ascii="Tahoma" w:hAnsi="Tahoma" w:cs="Tahoma"/>
        </w:rPr>
        <w:t xml:space="preserve">If a student is disqualified, there may be an impact on their ability to remain in training </w:t>
      </w:r>
      <w:r>
        <w:rPr>
          <w:rFonts w:ascii="Tahoma" w:hAnsi="Tahoma" w:cs="Tahoma"/>
        </w:rPr>
        <w:t xml:space="preserve">particularly </w:t>
      </w:r>
      <w:r w:rsidRPr="00962F12">
        <w:rPr>
          <w:rFonts w:ascii="Tahoma" w:hAnsi="Tahoma" w:cs="Tahoma"/>
        </w:rPr>
        <w:t xml:space="preserve">with the relevant age group. A disqualified person is not permitted to work in a setting providing care for children under age 8, unless they apply for and are granted a waiver from OFSTED.  If you think there is a problem for you, please contact the </w:t>
      </w:r>
      <w:r>
        <w:rPr>
          <w:rFonts w:ascii="Tahoma" w:hAnsi="Tahoma" w:cs="Tahoma"/>
        </w:rPr>
        <w:t>Head of Registry Operations or the course Programme Leader</w:t>
      </w:r>
      <w:r w:rsidRPr="00962F12">
        <w:rPr>
          <w:rFonts w:ascii="Tahoma" w:hAnsi="Tahoma" w:cs="Tahoma"/>
        </w:rPr>
        <w:t xml:space="preserve"> </w:t>
      </w:r>
      <w:r>
        <w:rPr>
          <w:rFonts w:ascii="Tahoma" w:hAnsi="Tahoma" w:cs="Tahoma"/>
        </w:rPr>
        <w:t>i</w:t>
      </w:r>
      <w:r>
        <w:rPr>
          <w:rFonts w:ascii="Tahoma" w:hAnsi="Tahoma" w:cs="Tahoma"/>
          <w:color w:val="000000"/>
        </w:rPr>
        <w:t>mmediately for advice</w:t>
      </w:r>
      <w:r w:rsidRPr="00962F12">
        <w:rPr>
          <w:rFonts w:ascii="Tahoma" w:hAnsi="Tahoma" w:cs="Tahoma"/>
          <w:color w:val="000000"/>
        </w:rPr>
        <w:t>.</w:t>
      </w:r>
      <w:r>
        <w:rPr>
          <w:rFonts w:ascii="Tahoma" w:hAnsi="Tahoma" w:cs="Tahoma"/>
          <w:color w:val="000000"/>
        </w:rPr>
        <w:t xml:space="preserve">  Discussions will be treated in the strictest confidence.</w:t>
      </w:r>
    </w:p>
    <w:p w:rsidR="00876465" w:rsidRDefault="00876465" w:rsidP="00876465">
      <w:pPr>
        <w:autoSpaceDE w:val="0"/>
        <w:autoSpaceDN w:val="0"/>
        <w:adjustRightInd w:val="0"/>
        <w:rPr>
          <w:rFonts w:ascii="Tahoma" w:hAnsi="Tahoma" w:cs="Tahoma"/>
          <w:color w:val="000000"/>
        </w:rPr>
      </w:pPr>
    </w:p>
    <w:p w:rsidR="00876465" w:rsidRPr="00962F12" w:rsidRDefault="00876465" w:rsidP="00876465">
      <w:pPr>
        <w:autoSpaceDE w:val="0"/>
        <w:autoSpaceDN w:val="0"/>
        <w:adjustRightInd w:val="0"/>
        <w:rPr>
          <w:rFonts w:ascii="Tahoma" w:hAnsi="Tahoma" w:cs="Tahoma"/>
          <w:color w:val="000000"/>
        </w:rPr>
      </w:pPr>
      <w:r>
        <w:rPr>
          <w:rFonts w:ascii="Tahoma" w:hAnsi="Tahoma" w:cs="Tahoma"/>
          <w:color w:val="000000"/>
        </w:rPr>
        <w:t>Please return the completed &amp; signed declaration in the envelope provided (do not forget to affix a stamp).  Thank you.</w:t>
      </w:r>
    </w:p>
    <w:p w:rsidR="00876465" w:rsidRPr="00962F12" w:rsidRDefault="00876465" w:rsidP="00876465">
      <w:pPr>
        <w:autoSpaceDE w:val="0"/>
        <w:autoSpaceDN w:val="0"/>
        <w:adjustRightInd w:val="0"/>
        <w:rPr>
          <w:rFonts w:ascii="Tahoma" w:hAnsi="Tahoma" w:cs="Tahoma"/>
          <w:color w:val="000000"/>
        </w:rPr>
      </w:pPr>
    </w:p>
    <w:p w:rsidR="00081DB6" w:rsidRDefault="00081DB6">
      <w:bookmarkStart w:id="0" w:name="_GoBack"/>
      <w:bookmarkEnd w:id="0"/>
    </w:p>
    <w:sectPr w:rsidR="00081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2E65"/>
    <w:multiLevelType w:val="hybridMultilevel"/>
    <w:tmpl w:val="0A70B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65"/>
    <w:rsid w:val="00081DB6"/>
    <w:rsid w:val="00876465"/>
    <w:rsid w:val="008D5C48"/>
    <w:rsid w:val="008E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6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6465"/>
    <w:pPr>
      <w:spacing w:after="200" w:line="276" w:lineRule="auto"/>
      <w:ind w:left="720"/>
      <w:contextualSpacing/>
    </w:pPr>
    <w:rPr>
      <w:rFonts w:cs="Arial"/>
      <w:lang w:eastAsia="en-US"/>
    </w:rPr>
  </w:style>
  <w:style w:type="paragraph" w:styleId="NoSpacing">
    <w:name w:val="No Spacing"/>
    <w:qFormat/>
    <w:rsid w:val="00876465"/>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876465"/>
    <w:rPr>
      <w:rFonts w:ascii="Arial" w:eastAsia="Times New Roman" w:hAnsi="Arial" w:cs="Arial"/>
      <w:sz w:val="24"/>
      <w:szCs w:val="24"/>
    </w:rPr>
  </w:style>
  <w:style w:type="paragraph" w:customStyle="1" w:styleId="Default">
    <w:name w:val="Default"/>
    <w:rsid w:val="0087646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6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6465"/>
    <w:pPr>
      <w:spacing w:after="200" w:line="276" w:lineRule="auto"/>
      <w:ind w:left="720"/>
      <w:contextualSpacing/>
    </w:pPr>
    <w:rPr>
      <w:rFonts w:cs="Arial"/>
      <w:lang w:eastAsia="en-US"/>
    </w:rPr>
  </w:style>
  <w:style w:type="paragraph" w:styleId="NoSpacing">
    <w:name w:val="No Spacing"/>
    <w:qFormat/>
    <w:rsid w:val="00876465"/>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876465"/>
    <w:rPr>
      <w:rFonts w:ascii="Arial" w:eastAsia="Times New Roman" w:hAnsi="Arial" w:cs="Arial"/>
      <w:sz w:val="24"/>
      <w:szCs w:val="24"/>
    </w:rPr>
  </w:style>
  <w:style w:type="paragraph" w:customStyle="1" w:styleId="Default">
    <w:name w:val="Default"/>
    <w:rsid w:val="0087646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Artingstall</dc:creator>
  <cp:lastModifiedBy>Michaela Artingstall</cp:lastModifiedBy>
  <cp:revision>1</cp:revision>
  <dcterms:created xsi:type="dcterms:W3CDTF">2015-08-26T16:21:00Z</dcterms:created>
  <dcterms:modified xsi:type="dcterms:W3CDTF">2015-08-26T16:21:00Z</dcterms:modified>
</cp:coreProperties>
</file>