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128" w:type="dxa"/>
        <w:tblLook w:val="0000" w:firstRow="0" w:lastRow="0" w:firstColumn="0" w:lastColumn="0" w:noHBand="0" w:noVBand="0"/>
      </w:tblPr>
      <w:tblGrid>
        <w:gridCol w:w="2114"/>
      </w:tblGrid>
      <w:tr w:rsidR="00994C01" w:rsidRPr="00A812A9">
        <w:tc>
          <w:tcPr>
            <w:tcW w:w="2114" w:type="dxa"/>
          </w:tcPr>
          <w:p w:rsidR="00994C01" w:rsidRPr="00A812A9" w:rsidRDefault="00994C01">
            <w:pPr>
              <w:pStyle w:val="Heading1"/>
              <w:spacing w:after="0"/>
              <w:jc w:val="right"/>
              <w:rPr>
                <w:rFonts w:ascii="Tahoma" w:hAnsi="Tahoma" w:cs="Tahoma"/>
                <w:sz w:val="24"/>
              </w:rPr>
            </w:pPr>
          </w:p>
        </w:tc>
      </w:tr>
    </w:tbl>
    <w:p w:rsidR="00305357" w:rsidRDefault="00305357" w:rsidP="00305357">
      <w:pPr>
        <w:spacing w:after="0"/>
        <w:rPr>
          <w:rFonts w:ascii="Tahoma" w:hAnsi="Tahoma" w:cs="Tahoma"/>
          <w:b/>
          <w:szCs w:val="24"/>
        </w:rPr>
      </w:pPr>
      <w:r>
        <w:rPr>
          <w:rFonts w:ascii="Tahoma" w:hAnsi="Tahoma" w:cs="Tahoma"/>
          <w:b/>
          <w:szCs w:val="24"/>
        </w:rPr>
        <w:t xml:space="preserve">Newman University Turnitin Policy </w:t>
      </w:r>
    </w:p>
    <w:p w:rsidR="00305357" w:rsidRDefault="00305357" w:rsidP="00305357">
      <w:pPr>
        <w:ind w:right="121"/>
        <w:rPr>
          <w:rFonts w:ascii="Tahoma" w:hAnsi="Tahoma" w:cs="Tahoma"/>
          <w:color w:val="616365"/>
          <w:szCs w:val="24"/>
        </w:rPr>
      </w:pPr>
    </w:p>
    <w:p w:rsidR="00305357" w:rsidRDefault="00305357" w:rsidP="00305357">
      <w:pPr>
        <w:ind w:right="121"/>
        <w:rPr>
          <w:rFonts w:ascii="Tahoma" w:hAnsi="Tahoma" w:cs="Tahoma"/>
          <w:szCs w:val="24"/>
        </w:rPr>
      </w:pPr>
      <w:r>
        <w:rPr>
          <w:rFonts w:ascii="Tahoma" w:hAnsi="Tahoma" w:cs="Tahoma"/>
          <w:szCs w:val="24"/>
        </w:rPr>
        <w:t xml:space="preserve">The University uses the Turnitin service. The Turnitin service facilitates the checking of student work for matching text on web pages, in electronic journals and in other materials by the production of </w:t>
      </w:r>
      <w:proofErr w:type="gramStart"/>
      <w:r>
        <w:rPr>
          <w:rFonts w:ascii="Tahoma" w:hAnsi="Tahoma" w:cs="Tahoma"/>
          <w:szCs w:val="24"/>
        </w:rPr>
        <w:t>an</w:t>
      </w:r>
      <w:proofErr w:type="gramEnd"/>
      <w:r>
        <w:rPr>
          <w:rFonts w:ascii="Tahoma" w:hAnsi="Tahoma" w:cs="Tahoma"/>
          <w:szCs w:val="24"/>
        </w:rPr>
        <w:t xml:space="preserve"> Similarity Report. </w:t>
      </w:r>
    </w:p>
    <w:p w:rsidR="00305357" w:rsidRDefault="00305357" w:rsidP="00305357">
      <w:pPr>
        <w:ind w:right="121"/>
        <w:rPr>
          <w:rFonts w:ascii="Tahoma" w:hAnsi="Tahoma" w:cs="Tahoma"/>
          <w:szCs w:val="24"/>
        </w:rPr>
      </w:pPr>
      <w:r>
        <w:rPr>
          <w:rFonts w:ascii="Tahoma" w:hAnsi="Tahoma" w:cs="Tahoma"/>
          <w:szCs w:val="24"/>
        </w:rPr>
        <w:t xml:space="preserve">The following policy statement outlines the principles that should underpin the use of Turnitin across the University. </w:t>
      </w:r>
    </w:p>
    <w:p w:rsidR="00305357" w:rsidRDefault="00305357" w:rsidP="00305357">
      <w:pPr>
        <w:rPr>
          <w:rFonts w:ascii="Tahoma" w:hAnsi="Tahoma" w:cs="Tahoma"/>
          <w:b/>
          <w:szCs w:val="24"/>
        </w:rPr>
      </w:pPr>
      <w:r>
        <w:rPr>
          <w:rFonts w:ascii="Tahoma" w:hAnsi="Tahoma" w:cs="Tahoma"/>
          <w:b/>
          <w:szCs w:val="24"/>
        </w:rPr>
        <w:t>1</w:t>
      </w:r>
      <w:r>
        <w:rPr>
          <w:rFonts w:ascii="Tahoma" w:hAnsi="Tahoma" w:cs="Tahoma"/>
          <w:b/>
          <w:szCs w:val="24"/>
        </w:rPr>
        <w:tab/>
        <w:t>Purposes of Turnitin</w:t>
      </w:r>
    </w:p>
    <w:p w:rsidR="00305357" w:rsidRDefault="00305357" w:rsidP="00305357">
      <w:pPr>
        <w:ind w:firstLine="720"/>
        <w:rPr>
          <w:rFonts w:ascii="Tahoma" w:hAnsi="Tahoma" w:cs="Tahoma"/>
          <w:szCs w:val="24"/>
        </w:rPr>
      </w:pPr>
      <w:r>
        <w:rPr>
          <w:rFonts w:ascii="Tahoma" w:hAnsi="Tahoma" w:cs="Tahoma"/>
          <w:szCs w:val="24"/>
        </w:rPr>
        <w:t>The service can be used for the following purposes:</w:t>
      </w:r>
    </w:p>
    <w:p w:rsidR="00305357" w:rsidRDefault="00305357" w:rsidP="00305357">
      <w:pPr>
        <w:pStyle w:val="ListParagraph"/>
        <w:numPr>
          <w:ilvl w:val="0"/>
          <w:numId w:val="2"/>
        </w:numPr>
        <w:spacing w:after="200" w:line="276" w:lineRule="auto"/>
        <w:jc w:val="left"/>
        <w:rPr>
          <w:rFonts w:ascii="Tahoma" w:hAnsi="Tahoma" w:cs="Tahoma"/>
          <w:szCs w:val="24"/>
        </w:rPr>
      </w:pPr>
      <w:r>
        <w:rPr>
          <w:rFonts w:ascii="Tahoma" w:hAnsi="Tahoma" w:cs="Tahoma"/>
          <w:szCs w:val="24"/>
        </w:rPr>
        <w:t>As a formative pedagogic tool which forms part of subject-area teaching of scholarly writing and referencing conventions in higher education;</w:t>
      </w:r>
    </w:p>
    <w:p w:rsidR="00305357" w:rsidRDefault="00305357" w:rsidP="00305357">
      <w:pPr>
        <w:pStyle w:val="ListParagraph"/>
        <w:numPr>
          <w:ilvl w:val="0"/>
          <w:numId w:val="2"/>
        </w:numPr>
        <w:spacing w:after="200" w:line="276" w:lineRule="auto"/>
        <w:jc w:val="left"/>
        <w:rPr>
          <w:rFonts w:ascii="Tahoma" w:hAnsi="Tahoma" w:cs="Tahoma"/>
          <w:szCs w:val="24"/>
        </w:rPr>
      </w:pPr>
      <w:r>
        <w:rPr>
          <w:rFonts w:ascii="Tahoma" w:hAnsi="Tahoma" w:cs="Tahoma"/>
          <w:szCs w:val="24"/>
        </w:rPr>
        <w:t>To monitor and detect the extent and sources of plagiarised material in work submitted for assessment.</w:t>
      </w:r>
    </w:p>
    <w:p w:rsidR="00305357" w:rsidRDefault="00305357" w:rsidP="00305357">
      <w:pPr>
        <w:rPr>
          <w:rFonts w:ascii="Tahoma" w:hAnsi="Tahoma" w:cs="Tahoma"/>
          <w:strike/>
          <w:szCs w:val="24"/>
        </w:rPr>
      </w:pPr>
      <w:r>
        <w:rPr>
          <w:rFonts w:ascii="Tahoma" w:hAnsi="Tahoma" w:cs="Tahoma"/>
          <w:b/>
          <w:szCs w:val="24"/>
        </w:rPr>
        <w:t>2</w:t>
      </w:r>
      <w:r>
        <w:rPr>
          <w:rFonts w:ascii="Tahoma" w:hAnsi="Tahoma" w:cs="Tahoma"/>
          <w:b/>
          <w:szCs w:val="24"/>
        </w:rPr>
        <w:tab/>
        <w:t>Use of Turnitin</w:t>
      </w:r>
    </w:p>
    <w:p w:rsidR="00305357" w:rsidRDefault="00305357" w:rsidP="00305357">
      <w:pPr>
        <w:pStyle w:val="CommentText"/>
        <w:ind w:left="720"/>
        <w:rPr>
          <w:rFonts w:ascii="Tahoma" w:hAnsi="Tahoma" w:cs="Tahoma"/>
          <w:sz w:val="24"/>
          <w:szCs w:val="24"/>
        </w:rPr>
      </w:pPr>
      <w:r>
        <w:rPr>
          <w:rFonts w:ascii="Tahoma" w:hAnsi="Tahoma" w:cs="Tahoma"/>
          <w:sz w:val="24"/>
          <w:szCs w:val="24"/>
        </w:rPr>
        <w:t>All electronic submissions are submitted using the University VLE which submits the work through the Turnitin software. Students are given sight of the Similarity Report when they submit and can make changes in light of the report before their final deadline. They can resubmit as many times as they wish and can receive up to three Similarity Reports per day.</w:t>
      </w:r>
    </w:p>
    <w:p w:rsidR="00305357" w:rsidRDefault="00305357" w:rsidP="00305357">
      <w:pPr>
        <w:ind w:left="720"/>
        <w:rPr>
          <w:rFonts w:ascii="Tahoma" w:hAnsi="Tahoma" w:cs="Tahoma"/>
          <w:szCs w:val="24"/>
        </w:rPr>
      </w:pPr>
      <w:r>
        <w:rPr>
          <w:rFonts w:ascii="Tahoma" w:hAnsi="Tahoma" w:cs="Tahoma"/>
          <w:szCs w:val="24"/>
        </w:rPr>
        <w:t>Tutors see the latest Similarity Report when they mark and can opt to mark with Turnitin or to provide feedback in a different way should they wish.</w:t>
      </w:r>
    </w:p>
    <w:p w:rsidR="00305357" w:rsidRDefault="00305357" w:rsidP="00305357">
      <w:pPr>
        <w:ind w:left="720" w:hanging="720"/>
        <w:rPr>
          <w:rFonts w:ascii="Tahoma" w:hAnsi="Tahoma" w:cs="Tahoma"/>
          <w:b/>
          <w:szCs w:val="24"/>
        </w:rPr>
      </w:pPr>
      <w:r>
        <w:rPr>
          <w:rFonts w:ascii="Tahoma" w:hAnsi="Tahoma" w:cs="Tahoma"/>
          <w:b/>
          <w:szCs w:val="24"/>
        </w:rPr>
        <w:t>3</w:t>
      </w:r>
      <w:r>
        <w:rPr>
          <w:rFonts w:ascii="Tahoma" w:hAnsi="Tahoma" w:cs="Tahoma"/>
          <w:b/>
          <w:szCs w:val="24"/>
        </w:rPr>
        <w:tab/>
        <w:t xml:space="preserve">Interpretation and links to the University </w:t>
      </w:r>
      <w:bookmarkStart w:id="0" w:name="_GoBack"/>
      <w:bookmarkEnd w:id="0"/>
      <w:r>
        <w:rPr>
          <w:rFonts w:ascii="Tahoma" w:hAnsi="Tahoma" w:cs="Tahoma"/>
          <w:b/>
          <w:szCs w:val="24"/>
        </w:rPr>
        <w:t>plagiarism procedures</w:t>
      </w:r>
    </w:p>
    <w:p w:rsidR="00305357" w:rsidRDefault="00305357" w:rsidP="00305357">
      <w:pPr>
        <w:ind w:left="720"/>
        <w:rPr>
          <w:rFonts w:ascii="Tahoma" w:hAnsi="Tahoma" w:cs="Tahoma"/>
          <w:szCs w:val="24"/>
        </w:rPr>
      </w:pPr>
      <w:r>
        <w:rPr>
          <w:rFonts w:ascii="Tahoma" w:hAnsi="Tahoma" w:cs="Tahoma"/>
          <w:szCs w:val="24"/>
        </w:rPr>
        <w:t xml:space="preserve">The Similarity Report, like any judgement made about plagiarism (see section 4 below) should be interpreted on the basis of an informed academic judgement taking into account the nature of the assignment and the level of the student. Familiarity with the benefits (and limitations) afforded by the software is paramount in this process. Training, advice and guidance is available on Turnitin (on-line training, guidance and advice is included in our subscription to the service) and from the E-learning team. </w:t>
      </w:r>
    </w:p>
    <w:p w:rsidR="00305357" w:rsidRDefault="00305357" w:rsidP="00305357">
      <w:pPr>
        <w:ind w:left="720"/>
        <w:rPr>
          <w:rFonts w:ascii="Tahoma" w:hAnsi="Tahoma" w:cs="Tahoma"/>
          <w:szCs w:val="24"/>
        </w:rPr>
      </w:pPr>
      <w:r>
        <w:rPr>
          <w:rFonts w:ascii="Tahoma" w:hAnsi="Tahoma" w:cs="Tahoma"/>
          <w:szCs w:val="24"/>
        </w:rPr>
        <w:t xml:space="preserve">Where academic judgement, based on a reading of the Similarity report, a close inspection of the sources highlighted, and a consideration of the nature of the assignment suggests that there is evidence that a student has plagiarised, then this information should be acted on in accordance with the University’s formal academic regulations with regard to plagiarism. It is important to note that while Turnitin is a useful tool for detecting plagiarism, other methods should also continue to be used. This is particularly important as Turnitin does not cover all published materials. </w:t>
      </w:r>
      <w:proofErr w:type="spellStart"/>
      <w:r>
        <w:rPr>
          <w:rFonts w:ascii="Tahoma" w:hAnsi="Tahoma" w:cs="Tahoma"/>
          <w:szCs w:val="24"/>
        </w:rPr>
        <w:t>Turnitin’s</w:t>
      </w:r>
      <w:proofErr w:type="spellEnd"/>
      <w:r>
        <w:rPr>
          <w:rFonts w:ascii="Tahoma" w:hAnsi="Tahoma" w:cs="Tahoma"/>
          <w:szCs w:val="24"/>
        </w:rPr>
        <w:t xml:space="preserve"> current search base includes: previous submissions to Turnitin UK; webpages, including an archive of deleted or changed pages; some public domain materials and </w:t>
      </w:r>
      <w:r>
        <w:rPr>
          <w:rFonts w:ascii="Tahoma" w:hAnsi="Tahoma" w:cs="Tahoma"/>
          <w:szCs w:val="24"/>
        </w:rPr>
        <w:lastRenderedPageBreak/>
        <w:t xml:space="preserve">selected subscription services including a number of journals. However, it does not and cannot search a significant proportion of books or older sources not available on the internet; password protected essay banks; work plagiarised by translation and </w:t>
      </w:r>
      <w:r>
        <w:rPr>
          <w:rFonts w:ascii="Tahoma" w:hAnsi="Tahoma" w:cs="Tahoma"/>
          <w:szCs w:val="24"/>
          <w:u w:val="single"/>
        </w:rPr>
        <w:t>all</w:t>
      </w:r>
      <w:r>
        <w:rPr>
          <w:rFonts w:ascii="Tahoma" w:hAnsi="Tahoma" w:cs="Tahoma"/>
          <w:szCs w:val="24"/>
        </w:rPr>
        <w:t xml:space="preserve"> electronic journals. Moreover, it cannot detect plagiarised diagrams, images or mathematical equations. As such its effectiveness will differ between disciplines. </w:t>
      </w:r>
    </w:p>
    <w:p w:rsidR="00305357" w:rsidRDefault="00305357" w:rsidP="00305357">
      <w:pPr>
        <w:rPr>
          <w:rFonts w:ascii="Tahoma" w:hAnsi="Tahoma" w:cs="Tahoma"/>
          <w:b/>
          <w:szCs w:val="24"/>
        </w:rPr>
      </w:pPr>
      <w:r>
        <w:rPr>
          <w:rFonts w:ascii="Tahoma" w:hAnsi="Tahoma" w:cs="Tahoma"/>
          <w:b/>
          <w:szCs w:val="24"/>
        </w:rPr>
        <w:t>4</w:t>
      </w:r>
      <w:r>
        <w:rPr>
          <w:rFonts w:ascii="Tahoma" w:hAnsi="Tahoma" w:cs="Tahoma"/>
          <w:b/>
          <w:szCs w:val="24"/>
        </w:rPr>
        <w:tab/>
        <w:t>Communication, informed consent and intellectual property rights</w:t>
      </w:r>
    </w:p>
    <w:p w:rsidR="00305357" w:rsidRDefault="00305357" w:rsidP="00305357">
      <w:pPr>
        <w:ind w:left="720"/>
        <w:rPr>
          <w:rFonts w:ascii="Tahoma" w:hAnsi="Tahoma" w:cs="Tahoma"/>
          <w:szCs w:val="24"/>
        </w:rPr>
      </w:pPr>
      <w:r>
        <w:rPr>
          <w:rFonts w:ascii="Tahoma" w:hAnsi="Tahoma" w:cs="Tahoma"/>
          <w:szCs w:val="24"/>
        </w:rPr>
        <w:t>Subject areas have a responsibility to provide students with clear guidance on the benefits of using Turnitin as a formative pedagogic tool for the submission of draft assignments</w:t>
      </w:r>
    </w:p>
    <w:p w:rsidR="00305357" w:rsidRDefault="00305357" w:rsidP="00305357">
      <w:pPr>
        <w:ind w:left="720"/>
        <w:rPr>
          <w:rFonts w:ascii="Tahoma" w:hAnsi="Tahoma" w:cs="Tahoma"/>
          <w:szCs w:val="24"/>
        </w:rPr>
      </w:pPr>
      <w:r>
        <w:rPr>
          <w:rFonts w:ascii="Tahoma" w:hAnsi="Tahoma" w:cs="Tahoma"/>
          <w:szCs w:val="24"/>
        </w:rPr>
        <w:t>It is important to state that if students are using Turnitin for pedagogic purposes, unless they specifically opt out, submitted material is retained by Turnitin to supplement their database. Turnitin has a licence to reproduce student submissions (to assess their originality) and to retain a copy for comparison with future submissions. This clearly offers benefits in the form of protection against others’ attempts to plagiarise students’ own work. As such, students are not normally allowed to opt out of their material being retained unless commercial sensitivity is at stake. However, it is important to stress to students that this does not infringe their intellectual property rights to the piece of work; these will continue to reside with the author of the work.</w:t>
      </w:r>
    </w:p>
    <w:p w:rsidR="00305357" w:rsidRDefault="00305357" w:rsidP="00305357">
      <w:pPr>
        <w:ind w:left="720"/>
        <w:rPr>
          <w:rFonts w:ascii="Tahoma" w:hAnsi="Tahoma" w:cs="Tahoma"/>
          <w:szCs w:val="24"/>
        </w:rPr>
      </w:pPr>
      <w:r>
        <w:rPr>
          <w:rFonts w:ascii="Tahoma" w:hAnsi="Tahoma" w:cs="Tahoma"/>
          <w:szCs w:val="24"/>
        </w:rPr>
        <w:t xml:space="preserve">The Electronic Assessment, Marking and Feedback Task Group has issued guidance for subject areas on how to use the service, interpret its reports and communicate key issues to students. </w:t>
      </w:r>
    </w:p>
    <w:p w:rsidR="00305357" w:rsidRDefault="00305357" w:rsidP="00305357">
      <w:pPr>
        <w:rPr>
          <w:rFonts w:ascii="Tahoma" w:hAnsi="Tahoma" w:cs="Tahoma"/>
          <w:szCs w:val="24"/>
        </w:rPr>
      </w:pPr>
    </w:p>
    <w:p w:rsidR="00305357" w:rsidRDefault="00305357" w:rsidP="00305357">
      <w:pPr>
        <w:spacing w:after="0"/>
        <w:jc w:val="left"/>
        <w:rPr>
          <w:rFonts w:ascii="Tahoma" w:hAnsi="Tahoma" w:cs="Tahoma"/>
          <w:szCs w:val="24"/>
        </w:rPr>
      </w:pPr>
    </w:p>
    <w:sectPr w:rsidR="00305357">
      <w:pgSz w:w="11906" w:h="16838"/>
      <w:pgMar w:top="1440" w:right="1440" w:bottom="1008"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A53" w:rsidRDefault="00AC5A53" w:rsidP="00AC5A53">
      <w:pPr>
        <w:spacing w:after="0"/>
      </w:pPr>
      <w:r>
        <w:separator/>
      </w:r>
    </w:p>
  </w:endnote>
  <w:endnote w:type="continuationSeparator" w:id="0">
    <w:p w:rsidR="00AC5A53" w:rsidRDefault="00AC5A53" w:rsidP="00AC5A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A53" w:rsidRDefault="00AC5A53" w:rsidP="00AC5A53">
      <w:pPr>
        <w:spacing w:after="0"/>
      </w:pPr>
      <w:r>
        <w:separator/>
      </w:r>
    </w:p>
  </w:footnote>
  <w:footnote w:type="continuationSeparator" w:id="0">
    <w:p w:rsidR="00AC5A53" w:rsidRDefault="00AC5A53" w:rsidP="00AC5A5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5D6F50"/>
    <w:multiLevelType w:val="hybridMultilevel"/>
    <w:tmpl w:val="60807A3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629"/>
    <w:rsid w:val="001C0D97"/>
    <w:rsid w:val="00305357"/>
    <w:rsid w:val="004F7AA0"/>
    <w:rsid w:val="007E570F"/>
    <w:rsid w:val="008553E7"/>
    <w:rsid w:val="00994C01"/>
    <w:rsid w:val="00A812A9"/>
    <w:rsid w:val="00AC5A53"/>
    <w:rsid w:val="00B058C0"/>
    <w:rsid w:val="00BF5340"/>
    <w:rsid w:val="00CD7381"/>
    <w:rsid w:val="00FA16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jc w:val="both"/>
    </w:pPr>
    <w:rPr>
      <w:rFonts w:ascii="Arial" w:hAnsi="Arial"/>
      <w:sz w:val="24"/>
      <w:lang w:eastAsia="en-US"/>
    </w:rPr>
  </w:style>
  <w:style w:type="paragraph" w:styleId="Heading1">
    <w:name w:val="heading 1"/>
    <w:basedOn w:val="Normal"/>
    <w:next w:val="Normal"/>
    <w:qFormat/>
    <w:pPr>
      <w:keepNext/>
      <w:jc w:val="center"/>
      <w:outlineLvl w:val="0"/>
    </w:pPr>
    <w:rPr>
      <w:b/>
      <w:kern w:val="28"/>
      <w:sz w:val="28"/>
    </w:rPr>
  </w:style>
  <w:style w:type="paragraph" w:styleId="Heading2">
    <w:name w:val="heading 2"/>
    <w:basedOn w:val="Normal"/>
    <w:next w:val="Normal"/>
    <w:qFormat/>
    <w:pPr>
      <w:keepNext/>
      <w:outlineLvl w:val="1"/>
    </w:pPr>
    <w:rPr>
      <w:b/>
      <w:sz w:val="26"/>
    </w:rPr>
  </w:style>
  <w:style w:type="paragraph" w:styleId="Heading3">
    <w:name w:val="heading 3"/>
    <w:basedOn w:val="Normal"/>
    <w:next w:val="Normal"/>
    <w:qFormat/>
    <w:pPr>
      <w:keepNext/>
      <w:spacing w:after="0"/>
      <w:outlineLvl w:val="2"/>
    </w:pPr>
    <w:rPr>
      <w:rFonts w:ascii="Tahoma" w:hAnsi="Tahoma" w:cs="Tahoma"/>
      <w:b/>
      <w:bCs/>
    </w:rPr>
  </w:style>
  <w:style w:type="paragraph" w:styleId="Heading4">
    <w:name w:val="heading 4"/>
    <w:basedOn w:val="Normal"/>
    <w:next w:val="Normal"/>
    <w:qFormat/>
    <w:pPr>
      <w:keepNext/>
      <w:spacing w:after="0"/>
      <w:outlineLvl w:val="3"/>
    </w:pPr>
    <w:rPr>
      <w:rFonts w:ascii="Tahoma" w:hAnsi="Tahoma" w:cs="Tahoma"/>
      <w:b/>
      <w:bCs/>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5A53"/>
    <w:pPr>
      <w:ind w:left="720"/>
      <w:contextualSpacing/>
    </w:pPr>
  </w:style>
  <w:style w:type="paragraph" w:styleId="FootnoteText">
    <w:name w:val="footnote text"/>
    <w:basedOn w:val="Normal"/>
    <w:link w:val="FootnoteTextChar"/>
    <w:uiPriority w:val="99"/>
    <w:unhideWhenUsed/>
    <w:rsid w:val="00AC5A53"/>
    <w:pPr>
      <w:spacing w:after="0"/>
      <w:jc w:val="left"/>
    </w:pPr>
    <w:rPr>
      <w:rFonts w:ascii="Calibri" w:eastAsia="Calibri" w:hAnsi="Calibri"/>
      <w:sz w:val="20"/>
    </w:rPr>
  </w:style>
  <w:style w:type="character" w:customStyle="1" w:styleId="FootnoteTextChar">
    <w:name w:val="Footnote Text Char"/>
    <w:basedOn w:val="DefaultParagraphFont"/>
    <w:link w:val="FootnoteText"/>
    <w:uiPriority w:val="99"/>
    <w:rsid w:val="00AC5A53"/>
    <w:rPr>
      <w:rFonts w:ascii="Calibri" w:eastAsia="Calibri" w:hAnsi="Calibri"/>
      <w:lang w:eastAsia="en-US"/>
    </w:rPr>
  </w:style>
  <w:style w:type="character" w:styleId="FootnoteReference">
    <w:name w:val="footnote reference"/>
    <w:uiPriority w:val="99"/>
    <w:unhideWhenUsed/>
    <w:rsid w:val="00AC5A53"/>
    <w:rPr>
      <w:vertAlign w:val="superscript"/>
    </w:rPr>
  </w:style>
  <w:style w:type="paragraph" w:styleId="CommentText">
    <w:name w:val="annotation text"/>
    <w:basedOn w:val="Normal"/>
    <w:link w:val="CommentTextChar"/>
    <w:uiPriority w:val="99"/>
    <w:unhideWhenUsed/>
    <w:rsid w:val="00305357"/>
    <w:rPr>
      <w:sz w:val="20"/>
    </w:rPr>
  </w:style>
  <w:style w:type="character" w:customStyle="1" w:styleId="CommentTextChar">
    <w:name w:val="Comment Text Char"/>
    <w:basedOn w:val="DefaultParagraphFont"/>
    <w:link w:val="CommentText"/>
    <w:uiPriority w:val="99"/>
    <w:rsid w:val="00305357"/>
    <w:rPr>
      <w:rFonts w:ascii="Arial" w:hAnsi="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jc w:val="both"/>
    </w:pPr>
    <w:rPr>
      <w:rFonts w:ascii="Arial" w:hAnsi="Arial"/>
      <w:sz w:val="24"/>
      <w:lang w:eastAsia="en-US"/>
    </w:rPr>
  </w:style>
  <w:style w:type="paragraph" w:styleId="Heading1">
    <w:name w:val="heading 1"/>
    <w:basedOn w:val="Normal"/>
    <w:next w:val="Normal"/>
    <w:qFormat/>
    <w:pPr>
      <w:keepNext/>
      <w:jc w:val="center"/>
      <w:outlineLvl w:val="0"/>
    </w:pPr>
    <w:rPr>
      <w:b/>
      <w:kern w:val="28"/>
      <w:sz w:val="28"/>
    </w:rPr>
  </w:style>
  <w:style w:type="paragraph" w:styleId="Heading2">
    <w:name w:val="heading 2"/>
    <w:basedOn w:val="Normal"/>
    <w:next w:val="Normal"/>
    <w:qFormat/>
    <w:pPr>
      <w:keepNext/>
      <w:outlineLvl w:val="1"/>
    </w:pPr>
    <w:rPr>
      <w:b/>
      <w:sz w:val="26"/>
    </w:rPr>
  </w:style>
  <w:style w:type="paragraph" w:styleId="Heading3">
    <w:name w:val="heading 3"/>
    <w:basedOn w:val="Normal"/>
    <w:next w:val="Normal"/>
    <w:qFormat/>
    <w:pPr>
      <w:keepNext/>
      <w:spacing w:after="0"/>
      <w:outlineLvl w:val="2"/>
    </w:pPr>
    <w:rPr>
      <w:rFonts w:ascii="Tahoma" w:hAnsi="Tahoma" w:cs="Tahoma"/>
      <w:b/>
      <w:bCs/>
    </w:rPr>
  </w:style>
  <w:style w:type="paragraph" w:styleId="Heading4">
    <w:name w:val="heading 4"/>
    <w:basedOn w:val="Normal"/>
    <w:next w:val="Normal"/>
    <w:qFormat/>
    <w:pPr>
      <w:keepNext/>
      <w:spacing w:after="0"/>
      <w:outlineLvl w:val="3"/>
    </w:pPr>
    <w:rPr>
      <w:rFonts w:ascii="Tahoma" w:hAnsi="Tahoma" w:cs="Tahoma"/>
      <w:b/>
      <w:bCs/>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5A53"/>
    <w:pPr>
      <w:ind w:left="720"/>
      <w:contextualSpacing/>
    </w:pPr>
  </w:style>
  <w:style w:type="paragraph" w:styleId="FootnoteText">
    <w:name w:val="footnote text"/>
    <w:basedOn w:val="Normal"/>
    <w:link w:val="FootnoteTextChar"/>
    <w:uiPriority w:val="99"/>
    <w:unhideWhenUsed/>
    <w:rsid w:val="00AC5A53"/>
    <w:pPr>
      <w:spacing w:after="0"/>
      <w:jc w:val="left"/>
    </w:pPr>
    <w:rPr>
      <w:rFonts w:ascii="Calibri" w:eastAsia="Calibri" w:hAnsi="Calibri"/>
      <w:sz w:val="20"/>
    </w:rPr>
  </w:style>
  <w:style w:type="character" w:customStyle="1" w:styleId="FootnoteTextChar">
    <w:name w:val="Footnote Text Char"/>
    <w:basedOn w:val="DefaultParagraphFont"/>
    <w:link w:val="FootnoteText"/>
    <w:uiPriority w:val="99"/>
    <w:rsid w:val="00AC5A53"/>
    <w:rPr>
      <w:rFonts w:ascii="Calibri" w:eastAsia="Calibri" w:hAnsi="Calibri"/>
      <w:lang w:eastAsia="en-US"/>
    </w:rPr>
  </w:style>
  <w:style w:type="character" w:styleId="FootnoteReference">
    <w:name w:val="footnote reference"/>
    <w:uiPriority w:val="99"/>
    <w:unhideWhenUsed/>
    <w:rsid w:val="00AC5A53"/>
    <w:rPr>
      <w:vertAlign w:val="superscript"/>
    </w:rPr>
  </w:style>
  <w:style w:type="paragraph" w:styleId="CommentText">
    <w:name w:val="annotation text"/>
    <w:basedOn w:val="Normal"/>
    <w:link w:val="CommentTextChar"/>
    <w:uiPriority w:val="99"/>
    <w:unhideWhenUsed/>
    <w:rsid w:val="00305357"/>
    <w:rPr>
      <w:sz w:val="20"/>
    </w:rPr>
  </w:style>
  <w:style w:type="character" w:customStyle="1" w:styleId="CommentTextChar">
    <w:name w:val="Comment Text Char"/>
    <w:basedOn w:val="DefaultParagraphFont"/>
    <w:link w:val="CommentText"/>
    <w:uiPriority w:val="99"/>
    <w:rsid w:val="00305357"/>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99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646</Words>
  <Characters>3547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NEWMAN COLLEGE OF HIGHER EDUCATION</vt:lpstr>
    </vt:vector>
  </TitlesOfParts>
  <Company>Newman College</Company>
  <LinksUpToDate>false</LinksUpToDate>
  <CharactersWithSpaces>4185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COLLEGE OF HIGHER EDUCATION</dc:title>
  <dc:creator>Lysandre de-la-Haye</dc:creator>
  <cp:lastModifiedBy>Lysandre de-la-Haye</cp:lastModifiedBy>
  <cp:revision>2</cp:revision>
  <cp:lastPrinted>1900-12-31T23:00:00Z</cp:lastPrinted>
  <dcterms:created xsi:type="dcterms:W3CDTF">2019-05-21T12:11:00Z</dcterms:created>
  <dcterms:modified xsi:type="dcterms:W3CDTF">2019-05-21T12:11:00Z</dcterms:modified>
</cp:coreProperties>
</file>