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DF09C" w14:textId="352F5991" w:rsidR="00110D35" w:rsidRPr="00110D35" w:rsidRDefault="00110D35" w:rsidP="00110D35">
      <w:pPr>
        <w:jc w:val="right"/>
        <w:rPr>
          <w:rFonts w:cstheme="minorHAnsi"/>
          <w:b/>
          <w:sz w:val="24"/>
          <w:szCs w:val="24"/>
          <w:u w:val="single"/>
        </w:rPr>
      </w:pPr>
      <w:r>
        <w:rPr>
          <w:rFonts w:ascii="Times" w:eastAsia="Times New Roman" w:hAnsi="Times" w:cs="Tahoma"/>
          <w:noProof/>
          <w:sz w:val="28"/>
          <w:szCs w:val="28"/>
          <w:lang w:eastAsia="en-GB"/>
        </w:rPr>
        <w:drawing>
          <wp:inline distT="0" distB="0" distL="0" distR="0" wp14:anchorId="186983EF" wp14:editId="22F73873">
            <wp:extent cx="1785620" cy="608330"/>
            <wp:effectExtent l="0" t="0" r="5080" b="1270"/>
            <wp:docPr id="15" name="Picture 15" descr="Newman Univers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ewman University Logo Crest Lef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620" cy="608330"/>
                    </a:xfrm>
                    <a:prstGeom prst="rect">
                      <a:avLst/>
                    </a:prstGeom>
                  </pic:spPr>
                </pic:pic>
              </a:graphicData>
            </a:graphic>
          </wp:inline>
        </w:drawing>
      </w:r>
    </w:p>
    <w:p w14:paraId="2BF01A58" w14:textId="73196BAD" w:rsidR="00110D35" w:rsidRDefault="00110D35" w:rsidP="00D137B8">
      <w:pPr>
        <w:jc w:val="center"/>
        <w:rPr>
          <w:rFonts w:cstheme="minorHAnsi"/>
          <w:b/>
          <w:sz w:val="32"/>
          <w:szCs w:val="32"/>
          <w:u w:val="single"/>
        </w:rPr>
      </w:pPr>
    </w:p>
    <w:p w14:paraId="3144BB44" w14:textId="77777777" w:rsidR="00110D35" w:rsidRDefault="00110D35" w:rsidP="00D137B8">
      <w:pPr>
        <w:jc w:val="center"/>
        <w:rPr>
          <w:rFonts w:cstheme="minorHAnsi"/>
          <w:b/>
          <w:sz w:val="32"/>
          <w:szCs w:val="32"/>
          <w:u w:val="single"/>
        </w:rPr>
      </w:pPr>
    </w:p>
    <w:p w14:paraId="58883D93" w14:textId="0F899399" w:rsidR="00D137B8" w:rsidRPr="008E17A3" w:rsidRDefault="00D137B8" w:rsidP="00D137B8">
      <w:pPr>
        <w:jc w:val="center"/>
        <w:rPr>
          <w:rFonts w:cstheme="minorHAnsi"/>
          <w:b/>
          <w:sz w:val="32"/>
          <w:szCs w:val="32"/>
          <w:u w:val="single"/>
        </w:rPr>
      </w:pPr>
      <w:r w:rsidRPr="008E17A3">
        <w:rPr>
          <w:rFonts w:cstheme="minorHAnsi"/>
          <w:b/>
          <w:sz w:val="32"/>
          <w:szCs w:val="32"/>
          <w:u w:val="single"/>
        </w:rPr>
        <w:t>Risk Management Policy</w:t>
      </w:r>
    </w:p>
    <w:p w14:paraId="3EBE62FB" w14:textId="77777777" w:rsidR="00D137B8" w:rsidRPr="00E74C8C" w:rsidRDefault="00BE639D" w:rsidP="00E74C8C">
      <w:pPr>
        <w:pStyle w:val="Heading1"/>
        <w:numPr>
          <w:ilvl w:val="0"/>
          <w:numId w:val="12"/>
        </w:numPr>
        <w:rPr>
          <w:b/>
        </w:rPr>
      </w:pPr>
      <w:r w:rsidRPr="00E74C8C">
        <w:rPr>
          <w:b/>
        </w:rPr>
        <w:t>Introduction</w:t>
      </w:r>
    </w:p>
    <w:p w14:paraId="69AE272D" w14:textId="77777777" w:rsidR="00BE639D" w:rsidRPr="00E74C8C" w:rsidRDefault="00BE639D" w:rsidP="00483D4B">
      <w:pPr>
        <w:pStyle w:val="ListParagraph"/>
        <w:ind w:left="360"/>
        <w:rPr>
          <w:rFonts w:cstheme="minorHAnsi"/>
          <w:sz w:val="24"/>
          <w:szCs w:val="24"/>
        </w:rPr>
      </w:pPr>
      <w:r w:rsidRPr="00E74C8C">
        <w:rPr>
          <w:rFonts w:cstheme="minorHAnsi"/>
          <w:sz w:val="24"/>
          <w:szCs w:val="24"/>
        </w:rPr>
        <w:t>The University faces numerous risks that could affect any aspect of its academic, administrative or commercial business activities.</w:t>
      </w:r>
      <w:r w:rsidR="00D7130D" w:rsidRPr="00E74C8C">
        <w:rPr>
          <w:rFonts w:cstheme="minorHAnsi"/>
          <w:sz w:val="24"/>
          <w:szCs w:val="24"/>
        </w:rPr>
        <w:t xml:space="preserve"> </w:t>
      </w:r>
      <w:r w:rsidRPr="00E74C8C">
        <w:rPr>
          <w:rFonts w:cstheme="minorHAnsi"/>
          <w:sz w:val="24"/>
          <w:szCs w:val="24"/>
        </w:rPr>
        <w:t xml:space="preserve"> Sound risk management is therefore required to ensure the University is able to achieve its strategic objectives</w:t>
      </w:r>
      <w:r w:rsidR="00D7130D" w:rsidRPr="00E74C8C">
        <w:rPr>
          <w:rFonts w:cstheme="minorHAnsi"/>
          <w:sz w:val="24"/>
          <w:szCs w:val="24"/>
        </w:rPr>
        <w:t xml:space="preserve"> and </w:t>
      </w:r>
      <w:r w:rsidR="00DC3026" w:rsidRPr="00E74C8C">
        <w:rPr>
          <w:rFonts w:cstheme="minorHAnsi"/>
          <w:sz w:val="24"/>
          <w:szCs w:val="24"/>
        </w:rPr>
        <w:t>academic mission</w:t>
      </w:r>
      <w:r w:rsidRPr="00E74C8C">
        <w:rPr>
          <w:rFonts w:cstheme="minorHAnsi"/>
          <w:sz w:val="24"/>
          <w:szCs w:val="24"/>
        </w:rPr>
        <w:t>.</w:t>
      </w:r>
    </w:p>
    <w:p w14:paraId="5921E68D" w14:textId="77777777" w:rsidR="00D7130D" w:rsidRPr="00E74C8C" w:rsidRDefault="00D7130D" w:rsidP="00483D4B">
      <w:pPr>
        <w:pStyle w:val="ListParagraph"/>
        <w:ind w:left="360"/>
        <w:rPr>
          <w:rFonts w:cstheme="minorHAnsi"/>
          <w:sz w:val="24"/>
          <w:szCs w:val="24"/>
        </w:rPr>
      </w:pPr>
    </w:p>
    <w:p w14:paraId="04969D12" w14:textId="7AC5B4A4" w:rsidR="00D7130D" w:rsidRPr="00E74C8C" w:rsidRDefault="00BE639D" w:rsidP="00483D4B">
      <w:pPr>
        <w:pStyle w:val="ListParagraph"/>
        <w:ind w:left="360"/>
        <w:rPr>
          <w:rFonts w:cstheme="minorHAnsi"/>
          <w:sz w:val="24"/>
          <w:szCs w:val="24"/>
        </w:rPr>
      </w:pPr>
      <w:r w:rsidRPr="00E74C8C">
        <w:rPr>
          <w:rFonts w:cstheme="minorHAnsi"/>
          <w:sz w:val="24"/>
          <w:szCs w:val="24"/>
        </w:rPr>
        <w:t xml:space="preserve">The University considers risk management to be fundamental to good management practice and a significant aspect of corporate governance. </w:t>
      </w:r>
      <w:r w:rsidR="001042E4" w:rsidRPr="00E74C8C">
        <w:rPr>
          <w:rFonts w:cstheme="minorHAnsi"/>
          <w:sz w:val="24"/>
          <w:szCs w:val="24"/>
        </w:rPr>
        <w:t xml:space="preserve"> </w:t>
      </w:r>
      <w:r w:rsidRPr="00E74C8C">
        <w:rPr>
          <w:rFonts w:cstheme="minorHAnsi"/>
          <w:sz w:val="24"/>
          <w:szCs w:val="24"/>
        </w:rPr>
        <w:t>Risks include not only threats facing the University, but also a failure to seize opportunities.</w:t>
      </w:r>
      <w:r w:rsidR="001042E4" w:rsidRPr="00E74C8C">
        <w:rPr>
          <w:rFonts w:cstheme="minorHAnsi"/>
          <w:sz w:val="24"/>
          <w:szCs w:val="24"/>
        </w:rPr>
        <w:t xml:space="preserve"> </w:t>
      </w:r>
      <w:r w:rsidRPr="00E74C8C">
        <w:rPr>
          <w:rFonts w:cstheme="minorHAnsi"/>
          <w:sz w:val="24"/>
          <w:szCs w:val="24"/>
        </w:rPr>
        <w:t xml:space="preserve"> An assessment of risk must therefore be conducted to identify, analyse and report to the most appropriate management level within the University.</w:t>
      </w:r>
      <w:r w:rsidR="001042E4" w:rsidRPr="00E74C8C">
        <w:rPr>
          <w:rFonts w:cstheme="minorHAnsi"/>
          <w:sz w:val="24"/>
          <w:szCs w:val="24"/>
        </w:rPr>
        <w:t xml:space="preserve"> </w:t>
      </w:r>
      <w:r w:rsidR="00D7130D" w:rsidRPr="00E74C8C">
        <w:rPr>
          <w:rFonts w:cstheme="minorHAnsi"/>
          <w:sz w:val="24"/>
          <w:szCs w:val="24"/>
        </w:rPr>
        <w:t xml:space="preserve"> The aim of the policy is not </w:t>
      </w:r>
      <w:r w:rsidR="008E17A3">
        <w:rPr>
          <w:rFonts w:cstheme="minorHAnsi"/>
          <w:sz w:val="24"/>
          <w:szCs w:val="24"/>
        </w:rPr>
        <w:t xml:space="preserve">to </w:t>
      </w:r>
      <w:r w:rsidR="00D7130D" w:rsidRPr="00E74C8C">
        <w:rPr>
          <w:rFonts w:cstheme="minorHAnsi"/>
          <w:sz w:val="24"/>
          <w:szCs w:val="24"/>
        </w:rPr>
        <w:t>eliminate risk from the University’s activities, but rather to manage risk appropriately.</w:t>
      </w:r>
    </w:p>
    <w:p w14:paraId="211479F5" w14:textId="77777777" w:rsidR="00BE639D" w:rsidRPr="00E74C8C" w:rsidRDefault="00BE639D" w:rsidP="00483D4B">
      <w:pPr>
        <w:pStyle w:val="ListParagraph"/>
        <w:ind w:left="360"/>
        <w:rPr>
          <w:rFonts w:cstheme="minorHAnsi"/>
          <w:sz w:val="24"/>
          <w:szCs w:val="24"/>
        </w:rPr>
      </w:pPr>
    </w:p>
    <w:p w14:paraId="6F8FF938" w14:textId="3BD61EFE" w:rsidR="003B6CFD" w:rsidRPr="00E74C8C" w:rsidRDefault="00BE639D" w:rsidP="00483D4B">
      <w:pPr>
        <w:pStyle w:val="ListParagraph"/>
        <w:ind w:left="360"/>
        <w:rPr>
          <w:rFonts w:cstheme="minorHAnsi"/>
          <w:sz w:val="24"/>
          <w:szCs w:val="24"/>
        </w:rPr>
      </w:pPr>
      <w:r w:rsidRPr="00E74C8C">
        <w:rPr>
          <w:rFonts w:cstheme="minorHAnsi"/>
          <w:sz w:val="24"/>
          <w:szCs w:val="24"/>
        </w:rPr>
        <w:t>It should be noted that risk management is the responsibility of everyone at the University, not just a small number of named individuals.</w:t>
      </w:r>
      <w:r w:rsidR="001042E4" w:rsidRPr="00E74C8C">
        <w:rPr>
          <w:rFonts w:cstheme="minorHAnsi"/>
          <w:sz w:val="24"/>
          <w:szCs w:val="24"/>
        </w:rPr>
        <w:t xml:space="preserve"> </w:t>
      </w:r>
      <w:r w:rsidRPr="00E74C8C">
        <w:rPr>
          <w:rFonts w:cstheme="minorHAnsi"/>
          <w:sz w:val="24"/>
          <w:szCs w:val="24"/>
        </w:rPr>
        <w:t xml:space="preserve"> The University maintains</w:t>
      </w:r>
      <w:r w:rsidR="00687FFB" w:rsidRPr="00E74C8C">
        <w:rPr>
          <w:rFonts w:cstheme="minorHAnsi"/>
          <w:sz w:val="24"/>
          <w:szCs w:val="24"/>
        </w:rPr>
        <w:t xml:space="preserve"> a register of strategic risks</w:t>
      </w:r>
      <w:r w:rsidR="00EE66D3" w:rsidRPr="00E74C8C">
        <w:rPr>
          <w:rFonts w:cstheme="minorHAnsi"/>
          <w:sz w:val="24"/>
          <w:szCs w:val="24"/>
        </w:rPr>
        <w:t xml:space="preserve"> (the Strategic Risk Register)</w:t>
      </w:r>
      <w:r w:rsidR="00687FFB" w:rsidRPr="00E74C8C">
        <w:rPr>
          <w:rFonts w:cstheme="minorHAnsi"/>
          <w:sz w:val="24"/>
          <w:szCs w:val="24"/>
        </w:rPr>
        <w:t xml:space="preserve"> </w:t>
      </w:r>
      <w:r w:rsidR="00C31375" w:rsidRPr="00E74C8C">
        <w:rPr>
          <w:rFonts w:cstheme="minorHAnsi"/>
          <w:sz w:val="24"/>
          <w:szCs w:val="24"/>
        </w:rPr>
        <w:t>and a separate regis</w:t>
      </w:r>
      <w:r w:rsidR="00834CE6" w:rsidRPr="00E74C8C">
        <w:rPr>
          <w:rFonts w:cstheme="minorHAnsi"/>
          <w:sz w:val="24"/>
          <w:szCs w:val="24"/>
        </w:rPr>
        <w:t>ter of high level operational and</w:t>
      </w:r>
      <w:r w:rsidR="00C31375" w:rsidRPr="00E74C8C">
        <w:rPr>
          <w:rFonts w:cstheme="minorHAnsi"/>
          <w:sz w:val="24"/>
          <w:szCs w:val="24"/>
        </w:rPr>
        <w:t xml:space="preserve"> compliance risks</w:t>
      </w:r>
      <w:r w:rsidR="00EE66D3" w:rsidRPr="00E74C8C">
        <w:rPr>
          <w:rFonts w:cstheme="minorHAnsi"/>
          <w:sz w:val="24"/>
          <w:szCs w:val="24"/>
        </w:rPr>
        <w:t xml:space="preserve"> (</w:t>
      </w:r>
      <w:r w:rsidR="008E17A3">
        <w:rPr>
          <w:rFonts w:cstheme="minorHAnsi"/>
          <w:sz w:val="24"/>
          <w:szCs w:val="24"/>
        </w:rPr>
        <w:t>t</w:t>
      </w:r>
      <w:r w:rsidR="00EE66D3" w:rsidRPr="00E74C8C">
        <w:rPr>
          <w:rFonts w:cstheme="minorHAnsi"/>
          <w:sz w:val="24"/>
          <w:szCs w:val="24"/>
        </w:rPr>
        <w:t>he Operational Risk Register)</w:t>
      </w:r>
      <w:r w:rsidR="00C31375" w:rsidRPr="00E74C8C">
        <w:rPr>
          <w:rFonts w:cstheme="minorHAnsi"/>
          <w:sz w:val="24"/>
          <w:szCs w:val="24"/>
        </w:rPr>
        <w:t xml:space="preserve">.  </w:t>
      </w:r>
      <w:r w:rsidR="00EE66D3" w:rsidRPr="00E74C8C">
        <w:rPr>
          <w:rFonts w:cstheme="minorHAnsi"/>
          <w:sz w:val="24"/>
          <w:szCs w:val="24"/>
        </w:rPr>
        <w:t>While the focus of discussion at the Non-Executive and Executive level should be on strategic risks, Newman rec</w:t>
      </w:r>
      <w:r w:rsidR="003B6CFD" w:rsidRPr="00E74C8C">
        <w:rPr>
          <w:rFonts w:cstheme="minorHAnsi"/>
          <w:sz w:val="24"/>
          <w:szCs w:val="24"/>
        </w:rPr>
        <w:t>ognises that from time to time o</w:t>
      </w:r>
      <w:r w:rsidR="00EE66D3" w:rsidRPr="00E74C8C">
        <w:rPr>
          <w:rFonts w:cstheme="minorHAnsi"/>
          <w:sz w:val="24"/>
          <w:szCs w:val="24"/>
        </w:rPr>
        <w:t xml:space="preserve">perational or compliance risks will </w:t>
      </w:r>
      <w:r w:rsidR="003B6CFD" w:rsidRPr="00E74C8C">
        <w:rPr>
          <w:rFonts w:cstheme="minorHAnsi"/>
          <w:sz w:val="24"/>
          <w:szCs w:val="24"/>
        </w:rPr>
        <w:t xml:space="preserve">necessarily </w:t>
      </w:r>
      <w:r w:rsidR="00EE66D3" w:rsidRPr="00E74C8C">
        <w:rPr>
          <w:rFonts w:cstheme="minorHAnsi"/>
          <w:sz w:val="24"/>
          <w:szCs w:val="24"/>
        </w:rPr>
        <w:t xml:space="preserve">take priority </w:t>
      </w:r>
      <w:r w:rsidR="003B6CFD" w:rsidRPr="00E74C8C">
        <w:rPr>
          <w:rFonts w:cstheme="minorHAnsi"/>
          <w:sz w:val="24"/>
          <w:szCs w:val="24"/>
        </w:rPr>
        <w:t>and the process has been developed to ensu</w:t>
      </w:r>
      <w:r w:rsidR="007A7524" w:rsidRPr="00E74C8C">
        <w:rPr>
          <w:rFonts w:cstheme="minorHAnsi"/>
          <w:sz w:val="24"/>
          <w:szCs w:val="24"/>
        </w:rPr>
        <w:t>re that these types of risks can be</w:t>
      </w:r>
      <w:r w:rsidR="003B6CFD" w:rsidRPr="00E74C8C">
        <w:rPr>
          <w:rFonts w:cstheme="minorHAnsi"/>
          <w:sz w:val="24"/>
          <w:szCs w:val="24"/>
        </w:rPr>
        <w:t xml:space="preserve"> escalated to the Strategic Risk Re</w:t>
      </w:r>
      <w:r w:rsidR="00C756FB">
        <w:rPr>
          <w:rFonts w:cstheme="minorHAnsi"/>
          <w:sz w:val="24"/>
          <w:szCs w:val="24"/>
        </w:rPr>
        <w:t>gister as and when appropriate.</w:t>
      </w:r>
    </w:p>
    <w:p w14:paraId="45432833" w14:textId="77777777" w:rsidR="003B6CFD" w:rsidRPr="00E74C8C" w:rsidRDefault="003B6CFD" w:rsidP="00483D4B">
      <w:pPr>
        <w:pStyle w:val="ListParagraph"/>
        <w:ind w:left="360"/>
        <w:rPr>
          <w:rFonts w:cstheme="minorHAnsi"/>
          <w:sz w:val="24"/>
          <w:szCs w:val="24"/>
        </w:rPr>
      </w:pPr>
    </w:p>
    <w:p w14:paraId="4A9E8B29" w14:textId="7FE181E9" w:rsidR="00834CE6" w:rsidRPr="00E74C8C" w:rsidRDefault="00C31375" w:rsidP="00483D4B">
      <w:pPr>
        <w:pStyle w:val="ListParagraph"/>
        <w:ind w:left="360"/>
        <w:rPr>
          <w:rFonts w:cstheme="minorHAnsi"/>
          <w:sz w:val="24"/>
          <w:szCs w:val="24"/>
        </w:rPr>
      </w:pPr>
      <w:r w:rsidRPr="00E74C8C">
        <w:rPr>
          <w:rFonts w:cstheme="minorHAnsi"/>
          <w:sz w:val="24"/>
          <w:szCs w:val="24"/>
        </w:rPr>
        <w:t>To encourage a culture of risk management across the institution</w:t>
      </w:r>
      <w:r w:rsidR="002F1132" w:rsidRPr="00E74C8C">
        <w:rPr>
          <w:rFonts w:cstheme="minorHAnsi"/>
          <w:sz w:val="24"/>
          <w:szCs w:val="24"/>
        </w:rPr>
        <w:t xml:space="preserve"> in a cohesive and integrated manner</w:t>
      </w:r>
      <w:r w:rsidRPr="00E74C8C">
        <w:rPr>
          <w:rFonts w:cstheme="minorHAnsi"/>
          <w:sz w:val="24"/>
          <w:szCs w:val="24"/>
        </w:rPr>
        <w:t>, the</w:t>
      </w:r>
      <w:r w:rsidR="00D7130D" w:rsidRPr="00E74C8C">
        <w:rPr>
          <w:rFonts w:cstheme="minorHAnsi"/>
          <w:sz w:val="24"/>
          <w:szCs w:val="24"/>
        </w:rPr>
        <w:t xml:space="preserve"> Faculties</w:t>
      </w:r>
      <w:r w:rsidR="00BE639D" w:rsidRPr="00E74C8C">
        <w:rPr>
          <w:rFonts w:cstheme="minorHAnsi"/>
          <w:sz w:val="24"/>
          <w:szCs w:val="24"/>
        </w:rPr>
        <w:t xml:space="preserve"> and service areas</w:t>
      </w:r>
      <w:r w:rsidR="00E870E1" w:rsidRPr="00E74C8C">
        <w:rPr>
          <w:rFonts w:cstheme="minorHAnsi"/>
          <w:sz w:val="24"/>
          <w:szCs w:val="24"/>
        </w:rPr>
        <w:t xml:space="preserve"> are expected</w:t>
      </w:r>
      <w:r w:rsidRPr="00E74C8C">
        <w:rPr>
          <w:rFonts w:cstheme="minorHAnsi"/>
          <w:sz w:val="24"/>
          <w:szCs w:val="24"/>
        </w:rPr>
        <w:t xml:space="preserve"> to</w:t>
      </w:r>
      <w:r w:rsidR="00BE639D" w:rsidRPr="00E74C8C">
        <w:rPr>
          <w:rFonts w:cstheme="minorHAnsi"/>
          <w:sz w:val="24"/>
          <w:szCs w:val="24"/>
        </w:rPr>
        <w:t xml:space="preserve"> maintain </w:t>
      </w:r>
      <w:r w:rsidRPr="00E74C8C">
        <w:rPr>
          <w:rFonts w:cstheme="minorHAnsi"/>
          <w:sz w:val="24"/>
          <w:szCs w:val="24"/>
        </w:rPr>
        <w:t xml:space="preserve">local </w:t>
      </w:r>
      <w:r w:rsidR="00BE639D" w:rsidRPr="00E74C8C">
        <w:rPr>
          <w:rFonts w:cstheme="minorHAnsi"/>
          <w:sz w:val="24"/>
          <w:szCs w:val="24"/>
        </w:rPr>
        <w:t xml:space="preserve">operational risk registers that </w:t>
      </w:r>
      <w:r w:rsidR="00BE639D" w:rsidRPr="00E74C8C">
        <w:rPr>
          <w:rFonts w:cstheme="minorHAnsi"/>
          <w:sz w:val="24"/>
          <w:szCs w:val="24"/>
        </w:rPr>
        <w:lastRenderedPageBreak/>
        <w:t>are integrated into the planning and budgeting process.</w:t>
      </w:r>
      <w:r w:rsidRPr="00E74C8C">
        <w:rPr>
          <w:rFonts w:cstheme="minorHAnsi"/>
          <w:sz w:val="24"/>
          <w:szCs w:val="24"/>
        </w:rPr>
        <w:t xml:space="preserve">  Individual risk registers are also developed for all </w:t>
      </w:r>
      <w:r w:rsidR="003D7B3F" w:rsidRPr="00E74C8C">
        <w:rPr>
          <w:rFonts w:cstheme="minorHAnsi"/>
          <w:sz w:val="24"/>
          <w:szCs w:val="24"/>
        </w:rPr>
        <w:t xml:space="preserve">major </w:t>
      </w:r>
      <w:r w:rsidRPr="00E74C8C">
        <w:rPr>
          <w:rFonts w:cstheme="minorHAnsi"/>
          <w:sz w:val="24"/>
          <w:szCs w:val="24"/>
        </w:rPr>
        <w:t xml:space="preserve">projects or </w:t>
      </w:r>
      <w:r w:rsidR="003D7B3F" w:rsidRPr="00E74C8C">
        <w:rPr>
          <w:rFonts w:cstheme="minorHAnsi"/>
          <w:sz w:val="24"/>
          <w:szCs w:val="24"/>
        </w:rPr>
        <w:t xml:space="preserve">significant </w:t>
      </w:r>
      <w:r w:rsidRPr="00E74C8C">
        <w:rPr>
          <w:rFonts w:cstheme="minorHAnsi"/>
          <w:sz w:val="24"/>
          <w:szCs w:val="24"/>
        </w:rPr>
        <w:t>new initiatives.</w:t>
      </w:r>
    </w:p>
    <w:p w14:paraId="18A45795" w14:textId="77777777" w:rsidR="00834CE6" w:rsidRPr="00E74C8C" w:rsidRDefault="00834CE6" w:rsidP="00483D4B">
      <w:pPr>
        <w:pStyle w:val="ListParagraph"/>
        <w:ind w:left="360"/>
        <w:rPr>
          <w:rFonts w:cstheme="minorHAnsi"/>
          <w:sz w:val="24"/>
          <w:szCs w:val="24"/>
        </w:rPr>
      </w:pPr>
    </w:p>
    <w:p w14:paraId="29976B3F" w14:textId="4CDE6469" w:rsidR="00D137B8" w:rsidRPr="00E74C8C" w:rsidRDefault="00834CE6" w:rsidP="00483D4B">
      <w:pPr>
        <w:pStyle w:val="ListParagraph"/>
        <w:ind w:left="360"/>
        <w:rPr>
          <w:rFonts w:cstheme="minorHAnsi"/>
          <w:sz w:val="24"/>
          <w:szCs w:val="24"/>
        </w:rPr>
      </w:pPr>
      <w:r w:rsidRPr="00E74C8C">
        <w:rPr>
          <w:rFonts w:cstheme="minorHAnsi"/>
          <w:sz w:val="24"/>
          <w:szCs w:val="24"/>
        </w:rPr>
        <w:t xml:space="preserve">Newman recognises that risk management is about meaningful discussion, planning and action, to effectively assess and manage risk and </w:t>
      </w:r>
      <w:r w:rsidR="003B6CFD" w:rsidRPr="00E74C8C">
        <w:rPr>
          <w:rFonts w:cstheme="minorHAnsi"/>
          <w:sz w:val="24"/>
          <w:szCs w:val="24"/>
        </w:rPr>
        <w:t xml:space="preserve">should </w:t>
      </w:r>
      <w:r w:rsidRPr="00E74C8C">
        <w:rPr>
          <w:rFonts w:cstheme="minorHAnsi"/>
          <w:sz w:val="24"/>
          <w:szCs w:val="24"/>
        </w:rPr>
        <w:t xml:space="preserve">not simply </w:t>
      </w:r>
      <w:r w:rsidR="003B6CFD" w:rsidRPr="00E74C8C">
        <w:rPr>
          <w:rFonts w:cstheme="minorHAnsi"/>
          <w:sz w:val="24"/>
          <w:szCs w:val="24"/>
        </w:rPr>
        <w:t xml:space="preserve">be </w:t>
      </w:r>
      <w:r w:rsidR="004F091F" w:rsidRPr="00E74C8C">
        <w:rPr>
          <w:rFonts w:cstheme="minorHAnsi"/>
          <w:sz w:val="24"/>
          <w:szCs w:val="24"/>
        </w:rPr>
        <w:t xml:space="preserve">seen as </w:t>
      </w:r>
      <w:r w:rsidRPr="00E74C8C">
        <w:rPr>
          <w:rFonts w:cstheme="minorHAnsi"/>
          <w:sz w:val="24"/>
          <w:szCs w:val="24"/>
        </w:rPr>
        <w:t xml:space="preserve">a paper tick box exercise and as such aims to maintain a light as touch as possible set of processes, while at the same time acknowledging the need to </w:t>
      </w:r>
      <w:r w:rsidR="004F091F" w:rsidRPr="00E74C8C">
        <w:rPr>
          <w:rFonts w:cstheme="minorHAnsi"/>
          <w:sz w:val="24"/>
          <w:szCs w:val="24"/>
        </w:rPr>
        <w:t>provide recorded evidence of an effective</w:t>
      </w:r>
      <w:r w:rsidR="007A7524" w:rsidRPr="00E74C8C">
        <w:rPr>
          <w:rFonts w:cstheme="minorHAnsi"/>
          <w:sz w:val="24"/>
          <w:szCs w:val="24"/>
        </w:rPr>
        <w:t xml:space="preserve"> risk management process.  Risk management is therefore everybody’s responsibility and the “Three Lines Model” outlined below emphasises this further.</w:t>
      </w:r>
    </w:p>
    <w:p w14:paraId="04204449" w14:textId="77777777" w:rsidR="00BE639D" w:rsidRPr="00E74C8C" w:rsidRDefault="00BE639D" w:rsidP="00E74C8C">
      <w:pPr>
        <w:pStyle w:val="Heading1"/>
        <w:numPr>
          <w:ilvl w:val="0"/>
          <w:numId w:val="12"/>
        </w:numPr>
        <w:rPr>
          <w:b/>
        </w:rPr>
      </w:pPr>
      <w:r w:rsidRPr="00E74C8C">
        <w:rPr>
          <w:b/>
        </w:rPr>
        <w:t>Purpose</w:t>
      </w:r>
    </w:p>
    <w:p w14:paraId="41D7D40C" w14:textId="038AAC9B" w:rsidR="00BE639D" w:rsidRPr="00E74C8C" w:rsidRDefault="00D7130D" w:rsidP="00D7130D">
      <w:pPr>
        <w:pStyle w:val="ListParagraph"/>
        <w:ind w:left="360"/>
        <w:rPr>
          <w:rFonts w:cstheme="minorHAnsi"/>
          <w:sz w:val="24"/>
          <w:szCs w:val="24"/>
        </w:rPr>
      </w:pPr>
      <w:r w:rsidRPr="00E74C8C">
        <w:rPr>
          <w:rFonts w:cstheme="minorHAnsi"/>
          <w:sz w:val="24"/>
          <w:szCs w:val="24"/>
        </w:rPr>
        <w:t>This Policy forms part of the institution</w:t>
      </w:r>
      <w:r w:rsidR="00DC3026" w:rsidRPr="00E74C8C">
        <w:rPr>
          <w:rFonts w:cstheme="minorHAnsi"/>
          <w:sz w:val="24"/>
          <w:szCs w:val="24"/>
        </w:rPr>
        <w:t>’</w:t>
      </w:r>
      <w:r w:rsidRPr="00E74C8C">
        <w:rPr>
          <w:rFonts w:cstheme="minorHAnsi"/>
          <w:sz w:val="24"/>
          <w:szCs w:val="24"/>
        </w:rPr>
        <w:t>s internal control and corporate governance arrangements and</w:t>
      </w:r>
      <w:r w:rsidR="00BE639D" w:rsidRPr="00E74C8C">
        <w:rPr>
          <w:rFonts w:cstheme="minorHAnsi"/>
          <w:sz w:val="24"/>
          <w:szCs w:val="24"/>
        </w:rPr>
        <w:t xml:space="preserve"> identifies the underlying approach to risk management across the University. </w:t>
      </w:r>
      <w:r w:rsidR="001042E4" w:rsidRPr="00E74C8C">
        <w:rPr>
          <w:rFonts w:cstheme="minorHAnsi"/>
          <w:sz w:val="24"/>
          <w:szCs w:val="24"/>
        </w:rPr>
        <w:t xml:space="preserve"> </w:t>
      </w:r>
      <w:r w:rsidR="00BE639D" w:rsidRPr="00E74C8C">
        <w:rPr>
          <w:rFonts w:cstheme="minorHAnsi"/>
          <w:sz w:val="24"/>
          <w:szCs w:val="24"/>
        </w:rPr>
        <w:t xml:space="preserve">It defines the roles and responsibilities of </w:t>
      </w:r>
      <w:r w:rsidRPr="00E74C8C">
        <w:rPr>
          <w:rFonts w:cstheme="minorHAnsi"/>
          <w:sz w:val="24"/>
          <w:szCs w:val="24"/>
        </w:rPr>
        <w:t>Council and senior managers.</w:t>
      </w:r>
      <w:r w:rsidR="00BE639D" w:rsidRPr="00E74C8C">
        <w:rPr>
          <w:rFonts w:cstheme="minorHAnsi"/>
          <w:sz w:val="24"/>
          <w:szCs w:val="24"/>
        </w:rPr>
        <w:t xml:space="preserve">  It also outlines key aspects of the risk management process, and identifies the main reporting procedures.</w:t>
      </w:r>
      <w:r w:rsidR="00F40CB0" w:rsidRPr="00E74C8C">
        <w:rPr>
          <w:rFonts w:cstheme="minorHAnsi"/>
          <w:sz w:val="24"/>
          <w:szCs w:val="24"/>
        </w:rPr>
        <w:t xml:space="preserve">  Based on the principles of the “Three Lines Model” (updated by the Institute of Internal Auditors, July 2020) the Executive and management</w:t>
      </w:r>
      <w:r w:rsidR="00D60937" w:rsidRPr="00E74C8C">
        <w:rPr>
          <w:rFonts w:cstheme="minorHAnsi"/>
          <w:sz w:val="24"/>
          <w:szCs w:val="24"/>
        </w:rPr>
        <w:t xml:space="preserve"> teams - owning and managing risks and establishing </w:t>
      </w:r>
      <w:r w:rsidR="00523C38">
        <w:rPr>
          <w:rFonts w:cstheme="minorHAnsi"/>
          <w:sz w:val="24"/>
          <w:szCs w:val="24"/>
        </w:rPr>
        <w:t xml:space="preserve">risk control and compliance </w:t>
      </w:r>
      <w:r w:rsidR="00F40CB0" w:rsidRPr="00E74C8C">
        <w:rPr>
          <w:rFonts w:cstheme="minorHAnsi"/>
          <w:sz w:val="24"/>
          <w:szCs w:val="24"/>
        </w:rPr>
        <w:t>provide the first and second lines with the third line provided by the Internal Audit function</w:t>
      </w:r>
      <w:r w:rsidR="00547BE1" w:rsidRPr="00E74C8C">
        <w:rPr>
          <w:rFonts w:cstheme="minorHAnsi"/>
          <w:sz w:val="24"/>
          <w:szCs w:val="24"/>
        </w:rPr>
        <w:t xml:space="preserve"> (independent assurance)</w:t>
      </w:r>
      <w:r w:rsidR="00F40CB0" w:rsidRPr="00E74C8C">
        <w:rPr>
          <w:rFonts w:cstheme="minorHAnsi"/>
          <w:sz w:val="24"/>
          <w:szCs w:val="24"/>
        </w:rPr>
        <w:t>.</w:t>
      </w:r>
    </w:p>
    <w:p w14:paraId="53D02382" w14:textId="5B9200AF" w:rsidR="00D137B8" w:rsidRPr="00E74C8C" w:rsidRDefault="00BE639D" w:rsidP="00E74C8C">
      <w:pPr>
        <w:pStyle w:val="Heading1"/>
        <w:numPr>
          <w:ilvl w:val="0"/>
          <w:numId w:val="12"/>
        </w:numPr>
        <w:rPr>
          <w:b/>
        </w:rPr>
      </w:pPr>
      <w:r w:rsidRPr="00E74C8C">
        <w:rPr>
          <w:b/>
        </w:rPr>
        <w:t>Risk Appetite</w:t>
      </w:r>
      <w:r w:rsidR="0013520A" w:rsidRPr="00E74C8C">
        <w:rPr>
          <w:b/>
        </w:rPr>
        <w:t xml:space="preserve"> (also see Appendix B)</w:t>
      </w:r>
    </w:p>
    <w:p w14:paraId="5689870A" w14:textId="663A64C1" w:rsidR="00D137B8" w:rsidRPr="00E74C8C" w:rsidRDefault="00483D4B" w:rsidP="00483D4B">
      <w:pPr>
        <w:pStyle w:val="ListParagraph"/>
        <w:ind w:left="360"/>
        <w:rPr>
          <w:rFonts w:cstheme="minorHAnsi"/>
          <w:sz w:val="24"/>
          <w:szCs w:val="24"/>
        </w:rPr>
      </w:pPr>
      <w:r w:rsidRPr="00E74C8C">
        <w:rPr>
          <w:rFonts w:cstheme="minorHAnsi"/>
          <w:sz w:val="24"/>
          <w:szCs w:val="24"/>
        </w:rPr>
        <w:t>I</w:t>
      </w:r>
      <w:r w:rsidR="00D137B8" w:rsidRPr="00E74C8C">
        <w:rPr>
          <w:rFonts w:cstheme="minorHAnsi"/>
          <w:sz w:val="24"/>
          <w:szCs w:val="24"/>
        </w:rPr>
        <w:t xml:space="preserve">n pursuing its </w:t>
      </w:r>
      <w:r w:rsidR="00C243B7" w:rsidRPr="00E74C8C">
        <w:rPr>
          <w:rFonts w:cstheme="minorHAnsi"/>
          <w:sz w:val="24"/>
          <w:szCs w:val="24"/>
        </w:rPr>
        <w:t>mission and strategic goals</w:t>
      </w:r>
      <w:r w:rsidR="00D137B8" w:rsidRPr="00E74C8C">
        <w:rPr>
          <w:rFonts w:cstheme="minorHAnsi"/>
          <w:sz w:val="24"/>
          <w:szCs w:val="24"/>
        </w:rPr>
        <w:t xml:space="preserve"> the University will assess the level of risk associated with its various activities. </w:t>
      </w:r>
      <w:r w:rsidR="001042E4" w:rsidRPr="00E74C8C">
        <w:rPr>
          <w:rFonts w:cstheme="minorHAnsi"/>
          <w:sz w:val="24"/>
          <w:szCs w:val="24"/>
        </w:rPr>
        <w:t xml:space="preserve"> </w:t>
      </w:r>
      <w:r w:rsidR="00D137B8" w:rsidRPr="00E74C8C">
        <w:rPr>
          <w:rFonts w:cstheme="minorHAnsi"/>
          <w:sz w:val="24"/>
          <w:szCs w:val="24"/>
        </w:rPr>
        <w:t>Council will determine the appropriate risk appetite for the University, what types of risk will be tolerated and monitor the risk profile of the University to ensure it remains within acceptable levels.</w:t>
      </w:r>
      <w:r w:rsidR="00E870E1" w:rsidRPr="00E74C8C">
        <w:rPr>
          <w:rFonts w:cstheme="minorHAnsi"/>
          <w:sz w:val="24"/>
          <w:szCs w:val="24"/>
        </w:rPr>
        <w:t xml:space="preserve">  The </w:t>
      </w:r>
      <w:r w:rsidR="00E870E1" w:rsidRPr="00E74C8C">
        <w:rPr>
          <w:rFonts w:cstheme="minorHAnsi"/>
          <w:color w:val="1D2228"/>
          <w:sz w:val="24"/>
          <w:szCs w:val="24"/>
          <w:shd w:val="clear" w:color="auto" w:fill="FFFFFF"/>
        </w:rPr>
        <w:t>risk appetite then drives the investment in risk mitigation and supports decision making around how much resource (time and/or money) should be spent to mitigate against the likelihood or impact of any risk being realised.</w:t>
      </w:r>
    </w:p>
    <w:p w14:paraId="750E625F" w14:textId="77777777" w:rsidR="00D137B8" w:rsidRPr="00E74C8C" w:rsidRDefault="00D137B8" w:rsidP="00D137B8">
      <w:pPr>
        <w:pStyle w:val="ListParagraph"/>
        <w:ind w:left="360"/>
        <w:rPr>
          <w:rFonts w:cstheme="minorHAnsi"/>
          <w:sz w:val="24"/>
          <w:szCs w:val="24"/>
        </w:rPr>
      </w:pPr>
    </w:p>
    <w:p w14:paraId="43E0CB40" w14:textId="7CAF58C8" w:rsidR="00BE639D" w:rsidRPr="00E74C8C" w:rsidRDefault="00D137B8" w:rsidP="00483D4B">
      <w:pPr>
        <w:pStyle w:val="ListParagraph"/>
        <w:ind w:left="360"/>
        <w:rPr>
          <w:rFonts w:cstheme="minorHAnsi"/>
          <w:sz w:val="24"/>
          <w:szCs w:val="24"/>
        </w:rPr>
      </w:pPr>
      <w:r w:rsidRPr="00E74C8C">
        <w:rPr>
          <w:rFonts w:cstheme="minorHAnsi"/>
          <w:sz w:val="24"/>
          <w:szCs w:val="24"/>
        </w:rPr>
        <w:t xml:space="preserve">The University engages in a portfolio of activities, some of which are judged to be low or medium risk and others that are higher </w:t>
      </w:r>
      <w:r w:rsidRPr="00E74C8C">
        <w:rPr>
          <w:rFonts w:cstheme="minorHAnsi"/>
          <w:sz w:val="24"/>
          <w:szCs w:val="24"/>
        </w:rPr>
        <w:lastRenderedPageBreak/>
        <w:t xml:space="preserve">risk. </w:t>
      </w:r>
      <w:r w:rsidR="001042E4" w:rsidRPr="00E74C8C">
        <w:rPr>
          <w:rFonts w:cstheme="minorHAnsi"/>
          <w:sz w:val="24"/>
          <w:szCs w:val="24"/>
        </w:rPr>
        <w:t xml:space="preserve"> </w:t>
      </w:r>
      <w:r w:rsidRPr="00E74C8C">
        <w:rPr>
          <w:rFonts w:cstheme="minorHAnsi"/>
          <w:sz w:val="24"/>
          <w:szCs w:val="24"/>
        </w:rPr>
        <w:t>There will be occasions when taking high calculated risks will be justified in terms of the benefits expect</w:t>
      </w:r>
      <w:r w:rsidR="00C756FB">
        <w:rPr>
          <w:rFonts w:cstheme="minorHAnsi"/>
          <w:sz w:val="24"/>
          <w:szCs w:val="24"/>
        </w:rPr>
        <w:t>ed to accrue to the University.</w:t>
      </w:r>
    </w:p>
    <w:p w14:paraId="21E23017" w14:textId="77777777" w:rsidR="00BE639D" w:rsidRPr="00E74C8C" w:rsidRDefault="00BE639D" w:rsidP="00BE639D">
      <w:pPr>
        <w:pStyle w:val="ListParagraph"/>
        <w:ind w:left="360"/>
        <w:rPr>
          <w:rFonts w:cstheme="minorHAnsi"/>
          <w:sz w:val="24"/>
          <w:szCs w:val="24"/>
        </w:rPr>
      </w:pPr>
    </w:p>
    <w:p w14:paraId="7D5BB406" w14:textId="4F7F7650" w:rsidR="00D137B8" w:rsidRPr="00E74C8C" w:rsidRDefault="00D137B8" w:rsidP="00483D4B">
      <w:pPr>
        <w:pStyle w:val="ListParagraph"/>
        <w:ind w:left="360"/>
        <w:rPr>
          <w:rFonts w:cstheme="minorHAnsi"/>
          <w:sz w:val="24"/>
          <w:szCs w:val="24"/>
        </w:rPr>
      </w:pPr>
      <w:r w:rsidRPr="00E74C8C">
        <w:rPr>
          <w:rFonts w:cstheme="minorHAnsi"/>
          <w:sz w:val="24"/>
          <w:szCs w:val="24"/>
        </w:rPr>
        <w:t>It is recognised as critical that the University preserves its reputation for high quality teaching and research, locally, nationally and internationally.</w:t>
      </w:r>
      <w:r w:rsidR="001042E4" w:rsidRPr="00E74C8C">
        <w:rPr>
          <w:rFonts w:cstheme="minorHAnsi"/>
          <w:sz w:val="24"/>
          <w:szCs w:val="24"/>
        </w:rPr>
        <w:t xml:space="preserve"> </w:t>
      </w:r>
      <w:r w:rsidRPr="00E74C8C">
        <w:rPr>
          <w:rFonts w:cstheme="minorHAnsi"/>
          <w:sz w:val="24"/>
          <w:szCs w:val="24"/>
        </w:rPr>
        <w:t xml:space="preserve"> The University therefore has a low appetite for risk in the conduct of its activities </w:t>
      </w:r>
      <w:r w:rsidR="00857952" w:rsidRPr="00E74C8C">
        <w:rPr>
          <w:rFonts w:cstheme="minorHAnsi"/>
          <w:sz w:val="24"/>
          <w:szCs w:val="24"/>
        </w:rPr>
        <w:t xml:space="preserve">and approach to judgement-based decision-making </w:t>
      </w:r>
      <w:r w:rsidRPr="00E74C8C">
        <w:rPr>
          <w:rFonts w:cstheme="minorHAnsi"/>
          <w:sz w:val="24"/>
          <w:szCs w:val="24"/>
        </w:rPr>
        <w:t xml:space="preserve">that could put its reputation in jeopardy, could lead to undue adverse publicity or could lead to loss of confidence by its </w:t>
      </w:r>
      <w:r w:rsidR="003D7B3F" w:rsidRPr="00E74C8C">
        <w:rPr>
          <w:rFonts w:cstheme="minorHAnsi"/>
          <w:sz w:val="24"/>
          <w:szCs w:val="24"/>
        </w:rPr>
        <w:t>partners,</w:t>
      </w:r>
      <w:r w:rsidRPr="00E74C8C">
        <w:rPr>
          <w:rFonts w:cstheme="minorHAnsi"/>
          <w:sz w:val="24"/>
          <w:szCs w:val="24"/>
        </w:rPr>
        <w:t xml:space="preserve"> funders</w:t>
      </w:r>
      <w:r w:rsidR="003D7B3F" w:rsidRPr="00E74C8C">
        <w:rPr>
          <w:rFonts w:cstheme="minorHAnsi"/>
          <w:sz w:val="24"/>
          <w:szCs w:val="24"/>
        </w:rPr>
        <w:t xml:space="preserve"> or regulators</w:t>
      </w:r>
      <w:r w:rsidRPr="00E74C8C">
        <w:rPr>
          <w:rFonts w:cstheme="minorHAnsi"/>
          <w:sz w:val="24"/>
          <w:szCs w:val="24"/>
        </w:rPr>
        <w:t>.</w:t>
      </w:r>
    </w:p>
    <w:p w14:paraId="7E2782AC" w14:textId="77777777" w:rsidR="00834CE6" w:rsidRPr="00E74C8C" w:rsidRDefault="00834CE6" w:rsidP="00483D4B">
      <w:pPr>
        <w:pStyle w:val="ListParagraph"/>
        <w:ind w:left="360"/>
        <w:rPr>
          <w:rFonts w:cstheme="minorHAnsi"/>
          <w:sz w:val="24"/>
          <w:szCs w:val="24"/>
        </w:rPr>
      </w:pPr>
    </w:p>
    <w:p w14:paraId="421649EF" w14:textId="77777777" w:rsidR="00483D4B" w:rsidRPr="00E74C8C" w:rsidRDefault="00D137B8" w:rsidP="00D137B8">
      <w:pPr>
        <w:pStyle w:val="ListParagraph"/>
        <w:ind w:left="360"/>
        <w:rPr>
          <w:rFonts w:cstheme="minorHAnsi"/>
          <w:sz w:val="24"/>
          <w:szCs w:val="24"/>
        </w:rPr>
      </w:pPr>
      <w:r w:rsidRPr="00E74C8C">
        <w:rPr>
          <w:rFonts w:cstheme="minorHAnsi"/>
          <w:sz w:val="24"/>
          <w:szCs w:val="24"/>
        </w:rPr>
        <w:t>The University places high importance on compliance and will not knowingly commit breaches in statute, regulation, professional standards, research, commercial contracts or ethics, bribery or fraud.</w:t>
      </w:r>
    </w:p>
    <w:p w14:paraId="6C1F241F" w14:textId="77777777" w:rsidR="00483D4B" w:rsidRPr="00E74C8C" w:rsidRDefault="00483D4B" w:rsidP="00D137B8">
      <w:pPr>
        <w:pStyle w:val="ListParagraph"/>
        <w:ind w:left="360"/>
        <w:rPr>
          <w:rFonts w:cstheme="minorHAnsi"/>
          <w:sz w:val="24"/>
          <w:szCs w:val="24"/>
        </w:rPr>
      </w:pPr>
    </w:p>
    <w:p w14:paraId="01B9B25A" w14:textId="5C4368BE" w:rsidR="00D137B8" w:rsidRPr="00E74C8C" w:rsidRDefault="00D137B8" w:rsidP="00D137B8">
      <w:pPr>
        <w:pStyle w:val="ListParagraph"/>
        <w:ind w:left="360"/>
        <w:rPr>
          <w:rFonts w:cstheme="minorHAnsi"/>
          <w:sz w:val="24"/>
          <w:szCs w:val="24"/>
        </w:rPr>
      </w:pPr>
      <w:r w:rsidRPr="00E74C8C">
        <w:rPr>
          <w:rFonts w:cstheme="minorHAnsi"/>
          <w:sz w:val="24"/>
          <w:szCs w:val="24"/>
        </w:rPr>
        <w:t>The University aims to maintain its long-term financial viability and its over</w:t>
      </w:r>
      <w:r w:rsidR="00483D4B" w:rsidRPr="00E74C8C">
        <w:rPr>
          <w:rFonts w:cstheme="minorHAnsi"/>
          <w:sz w:val="24"/>
          <w:szCs w:val="24"/>
        </w:rPr>
        <w:t>all financial sustainability</w:t>
      </w:r>
      <w:r w:rsidRPr="00E74C8C">
        <w:rPr>
          <w:rFonts w:cstheme="minorHAnsi"/>
          <w:sz w:val="24"/>
          <w:szCs w:val="24"/>
        </w:rPr>
        <w:t xml:space="preserve">. </w:t>
      </w:r>
      <w:r w:rsidR="00483D4B" w:rsidRPr="00E74C8C">
        <w:rPr>
          <w:rFonts w:cstheme="minorHAnsi"/>
          <w:sz w:val="24"/>
          <w:szCs w:val="24"/>
        </w:rPr>
        <w:t xml:space="preserve"> </w:t>
      </w:r>
      <w:r w:rsidRPr="00E74C8C">
        <w:rPr>
          <w:rFonts w:cstheme="minorHAnsi"/>
          <w:sz w:val="24"/>
          <w:szCs w:val="24"/>
        </w:rPr>
        <w:t>It will not consider projects where they could lead to breaching its banking covenants or fa</w:t>
      </w:r>
      <w:r w:rsidR="00886A3B" w:rsidRPr="00E74C8C">
        <w:rPr>
          <w:rFonts w:cstheme="minorHAnsi"/>
          <w:sz w:val="24"/>
          <w:szCs w:val="24"/>
        </w:rPr>
        <w:t>iling to meet its Financial strategic g</w:t>
      </w:r>
      <w:r w:rsidR="00857737" w:rsidRPr="00E74C8C">
        <w:rPr>
          <w:rFonts w:cstheme="minorHAnsi"/>
          <w:sz w:val="24"/>
          <w:szCs w:val="24"/>
        </w:rPr>
        <w:t>oals</w:t>
      </w:r>
      <w:r w:rsidRPr="00E74C8C">
        <w:rPr>
          <w:rFonts w:cstheme="minorHAnsi"/>
          <w:sz w:val="24"/>
          <w:szCs w:val="24"/>
        </w:rPr>
        <w:t>.</w:t>
      </w:r>
    </w:p>
    <w:p w14:paraId="153BBAB3" w14:textId="77777777" w:rsidR="00BE639D" w:rsidRPr="00E74C8C" w:rsidRDefault="00D7130D" w:rsidP="00E74C8C">
      <w:pPr>
        <w:pStyle w:val="Heading1"/>
        <w:numPr>
          <w:ilvl w:val="0"/>
          <w:numId w:val="12"/>
        </w:numPr>
        <w:rPr>
          <w:b/>
        </w:rPr>
      </w:pPr>
      <w:r w:rsidRPr="00E74C8C">
        <w:rPr>
          <w:b/>
        </w:rPr>
        <w:t>Risk Roles and R</w:t>
      </w:r>
      <w:r w:rsidR="00BE639D" w:rsidRPr="00E74C8C">
        <w:rPr>
          <w:b/>
        </w:rPr>
        <w:t>esponsibilities</w:t>
      </w:r>
    </w:p>
    <w:p w14:paraId="62B62617" w14:textId="7EBD41F3" w:rsidR="00D7130D" w:rsidRPr="00E74C8C" w:rsidRDefault="00BE639D" w:rsidP="00D137B8">
      <w:pPr>
        <w:pStyle w:val="ListParagraph"/>
        <w:ind w:left="360"/>
        <w:rPr>
          <w:rFonts w:cstheme="minorHAnsi"/>
          <w:sz w:val="24"/>
          <w:szCs w:val="24"/>
        </w:rPr>
      </w:pPr>
      <w:r w:rsidRPr="00E74C8C">
        <w:rPr>
          <w:rFonts w:cstheme="minorHAnsi"/>
          <w:sz w:val="24"/>
          <w:szCs w:val="24"/>
        </w:rPr>
        <w:t xml:space="preserve">It is essential that all participants in risk management are aware of their roles in the overall process and their own responsibilities. The key responsibilities are outlined below: </w:t>
      </w:r>
    </w:p>
    <w:p w14:paraId="344AB472" w14:textId="77777777" w:rsidR="00D7130D" w:rsidRPr="00E74C8C" w:rsidRDefault="00D7130D" w:rsidP="00E74C8C">
      <w:pPr>
        <w:pStyle w:val="Heading2"/>
        <w:ind w:left="360"/>
        <w:rPr>
          <w:b/>
        </w:rPr>
      </w:pPr>
      <w:r w:rsidRPr="00E74C8C">
        <w:rPr>
          <w:b/>
        </w:rPr>
        <w:t>University Council</w:t>
      </w:r>
      <w:r w:rsidR="00BE639D" w:rsidRPr="00E74C8C">
        <w:rPr>
          <w:b/>
        </w:rPr>
        <w:t xml:space="preserve"> </w:t>
      </w:r>
    </w:p>
    <w:p w14:paraId="30F937C2" w14:textId="11BBBAC0" w:rsidR="00D7130D" w:rsidRPr="00E74C8C" w:rsidRDefault="00D7130D" w:rsidP="00D137B8">
      <w:pPr>
        <w:pStyle w:val="ListParagraph"/>
        <w:ind w:left="360"/>
        <w:rPr>
          <w:rFonts w:cstheme="minorHAnsi"/>
          <w:sz w:val="24"/>
          <w:szCs w:val="24"/>
        </w:rPr>
      </w:pPr>
      <w:r w:rsidRPr="00E74C8C">
        <w:rPr>
          <w:rFonts w:cstheme="minorHAnsi"/>
          <w:sz w:val="24"/>
          <w:szCs w:val="24"/>
        </w:rPr>
        <w:t>Council</w:t>
      </w:r>
      <w:r w:rsidR="00BE639D" w:rsidRPr="00E74C8C">
        <w:rPr>
          <w:rFonts w:cstheme="minorHAnsi"/>
          <w:sz w:val="24"/>
          <w:szCs w:val="24"/>
        </w:rPr>
        <w:t xml:space="preserve"> has a fundamental role to play in the management of risk and in setting an overall culture of risk management within the University. </w:t>
      </w:r>
      <w:r w:rsidR="001042E4" w:rsidRPr="00E74C8C">
        <w:rPr>
          <w:rFonts w:cstheme="minorHAnsi"/>
          <w:sz w:val="24"/>
          <w:szCs w:val="24"/>
        </w:rPr>
        <w:t xml:space="preserve"> </w:t>
      </w:r>
      <w:r w:rsidR="00BE639D" w:rsidRPr="00E74C8C">
        <w:rPr>
          <w:rFonts w:cstheme="minorHAnsi"/>
          <w:sz w:val="24"/>
          <w:szCs w:val="24"/>
        </w:rPr>
        <w:t>This includes:</w:t>
      </w:r>
    </w:p>
    <w:p w14:paraId="63DCD13F" w14:textId="77777777" w:rsidR="00D7130D" w:rsidRPr="00E74C8C" w:rsidRDefault="00D7130D" w:rsidP="00483D4B">
      <w:pPr>
        <w:pStyle w:val="ListParagraph"/>
        <w:numPr>
          <w:ilvl w:val="0"/>
          <w:numId w:val="6"/>
        </w:numPr>
        <w:rPr>
          <w:rFonts w:cstheme="minorHAnsi"/>
          <w:sz w:val="24"/>
          <w:szCs w:val="24"/>
        </w:rPr>
      </w:pPr>
      <w:r w:rsidRPr="00E74C8C">
        <w:rPr>
          <w:rFonts w:cstheme="minorHAnsi"/>
          <w:sz w:val="24"/>
          <w:szCs w:val="24"/>
        </w:rPr>
        <w:t>Determining</w:t>
      </w:r>
      <w:r w:rsidR="00BE639D" w:rsidRPr="00E74C8C">
        <w:rPr>
          <w:rFonts w:cstheme="minorHAnsi"/>
          <w:sz w:val="24"/>
          <w:szCs w:val="24"/>
        </w:rPr>
        <w:t xml:space="preserve"> and reviewing the risk appetite of the University as a whole, and agreeing a risk appetite statement that is reviewed annually </w:t>
      </w:r>
    </w:p>
    <w:p w14:paraId="29545630" w14:textId="77777777" w:rsidR="00D7130D" w:rsidRPr="00E74C8C" w:rsidRDefault="00D7130D" w:rsidP="00483D4B">
      <w:pPr>
        <w:pStyle w:val="ListParagraph"/>
        <w:numPr>
          <w:ilvl w:val="0"/>
          <w:numId w:val="6"/>
        </w:numPr>
        <w:rPr>
          <w:rFonts w:cstheme="minorHAnsi"/>
          <w:sz w:val="24"/>
          <w:szCs w:val="24"/>
        </w:rPr>
      </w:pPr>
      <w:r w:rsidRPr="00E74C8C">
        <w:rPr>
          <w:rFonts w:cstheme="minorHAnsi"/>
          <w:sz w:val="24"/>
          <w:szCs w:val="24"/>
        </w:rPr>
        <w:t>Approving</w:t>
      </w:r>
      <w:r w:rsidR="00BE639D" w:rsidRPr="00E74C8C">
        <w:rPr>
          <w:rFonts w:cstheme="minorHAnsi"/>
          <w:sz w:val="24"/>
          <w:szCs w:val="24"/>
        </w:rPr>
        <w:t xml:space="preserve"> major decisions affecting the University’s risk profile or exposure </w:t>
      </w:r>
    </w:p>
    <w:p w14:paraId="237B27A3" w14:textId="77777777" w:rsidR="00BE639D" w:rsidRPr="00E74C8C" w:rsidRDefault="00D7130D" w:rsidP="00483D4B">
      <w:pPr>
        <w:pStyle w:val="ListParagraph"/>
        <w:numPr>
          <w:ilvl w:val="0"/>
          <w:numId w:val="6"/>
        </w:numPr>
        <w:rPr>
          <w:rFonts w:cstheme="minorHAnsi"/>
          <w:sz w:val="24"/>
          <w:szCs w:val="24"/>
        </w:rPr>
      </w:pPr>
      <w:r w:rsidRPr="00E74C8C">
        <w:rPr>
          <w:rFonts w:cstheme="minorHAnsi"/>
          <w:sz w:val="24"/>
          <w:szCs w:val="24"/>
        </w:rPr>
        <w:t>Determining</w:t>
      </w:r>
      <w:r w:rsidR="00BE639D" w:rsidRPr="00E74C8C">
        <w:rPr>
          <w:rFonts w:cstheme="minorHAnsi"/>
          <w:sz w:val="24"/>
          <w:szCs w:val="24"/>
        </w:rPr>
        <w:t xml:space="preserve"> what types of risk are acceptable or not acceptable</w:t>
      </w:r>
    </w:p>
    <w:p w14:paraId="5C33C7B6" w14:textId="1DDB5C01" w:rsidR="00D7130D" w:rsidRPr="00E74C8C" w:rsidRDefault="00BE639D" w:rsidP="00E74C8C">
      <w:pPr>
        <w:pStyle w:val="Heading2"/>
        <w:ind w:left="360"/>
        <w:rPr>
          <w:b/>
        </w:rPr>
      </w:pPr>
      <w:r w:rsidRPr="00E74C8C">
        <w:rPr>
          <w:b/>
        </w:rPr>
        <w:t xml:space="preserve">Audit </w:t>
      </w:r>
      <w:r w:rsidR="003D7B3F" w:rsidRPr="00E74C8C">
        <w:rPr>
          <w:b/>
        </w:rPr>
        <w:t xml:space="preserve">and Risk </w:t>
      </w:r>
      <w:r w:rsidRPr="00E74C8C">
        <w:rPr>
          <w:b/>
        </w:rPr>
        <w:t>Committee</w:t>
      </w:r>
    </w:p>
    <w:p w14:paraId="498176F2" w14:textId="323AA044" w:rsidR="00D7130D" w:rsidRPr="00E74C8C" w:rsidRDefault="00D7130D" w:rsidP="00D137B8">
      <w:pPr>
        <w:pStyle w:val="ListParagraph"/>
        <w:ind w:left="360"/>
        <w:rPr>
          <w:rFonts w:cstheme="minorHAnsi"/>
          <w:sz w:val="24"/>
          <w:szCs w:val="24"/>
        </w:rPr>
      </w:pPr>
      <w:r w:rsidRPr="00E74C8C">
        <w:rPr>
          <w:rFonts w:cstheme="minorHAnsi"/>
          <w:sz w:val="24"/>
          <w:szCs w:val="24"/>
        </w:rPr>
        <w:t>Acting on behalf of Council</w:t>
      </w:r>
      <w:r w:rsidR="00BE639D" w:rsidRPr="00E74C8C">
        <w:rPr>
          <w:rFonts w:cstheme="minorHAnsi"/>
          <w:sz w:val="24"/>
          <w:szCs w:val="24"/>
        </w:rPr>
        <w:t xml:space="preserve">, Audit </w:t>
      </w:r>
      <w:r w:rsidR="003D7B3F" w:rsidRPr="00E74C8C">
        <w:rPr>
          <w:rFonts w:cstheme="minorHAnsi"/>
          <w:sz w:val="24"/>
          <w:szCs w:val="24"/>
        </w:rPr>
        <w:t xml:space="preserve">and Risk </w:t>
      </w:r>
      <w:r w:rsidR="00BE639D" w:rsidRPr="00E74C8C">
        <w:rPr>
          <w:rFonts w:cstheme="minorHAnsi"/>
          <w:sz w:val="24"/>
          <w:szCs w:val="24"/>
        </w:rPr>
        <w:t xml:space="preserve">Committee will: </w:t>
      </w:r>
    </w:p>
    <w:p w14:paraId="06BCF5FD" w14:textId="139FD5A2" w:rsidR="00D7130D" w:rsidRPr="00E74C8C" w:rsidRDefault="00DC26C9" w:rsidP="00483D4B">
      <w:pPr>
        <w:pStyle w:val="ListParagraph"/>
        <w:numPr>
          <w:ilvl w:val="0"/>
          <w:numId w:val="5"/>
        </w:numPr>
        <w:rPr>
          <w:rFonts w:cstheme="minorHAnsi"/>
          <w:sz w:val="24"/>
          <w:szCs w:val="24"/>
        </w:rPr>
      </w:pPr>
      <w:r w:rsidRPr="00E74C8C">
        <w:rPr>
          <w:rFonts w:cstheme="minorHAnsi"/>
          <w:sz w:val="24"/>
          <w:szCs w:val="24"/>
        </w:rPr>
        <w:lastRenderedPageBreak/>
        <w:t>Monitor</w:t>
      </w:r>
      <w:r w:rsidR="00BE639D" w:rsidRPr="00E74C8C">
        <w:rPr>
          <w:rFonts w:cstheme="minorHAnsi"/>
          <w:sz w:val="24"/>
          <w:szCs w:val="24"/>
        </w:rPr>
        <w:t xml:space="preserve"> the management of key strategic risks </w:t>
      </w:r>
      <w:r w:rsidR="00F567C3" w:rsidRPr="00E74C8C">
        <w:rPr>
          <w:rFonts w:cstheme="minorHAnsi"/>
          <w:sz w:val="24"/>
          <w:szCs w:val="24"/>
        </w:rPr>
        <w:t>(Strategic Risk Register)</w:t>
      </w:r>
    </w:p>
    <w:p w14:paraId="1A3596BF" w14:textId="36BEBAB1" w:rsidR="00D7130D" w:rsidRPr="00E74C8C" w:rsidRDefault="00DC26C9" w:rsidP="00483D4B">
      <w:pPr>
        <w:pStyle w:val="ListParagraph"/>
        <w:numPr>
          <w:ilvl w:val="0"/>
          <w:numId w:val="5"/>
        </w:numPr>
        <w:rPr>
          <w:rFonts w:cstheme="minorHAnsi"/>
          <w:sz w:val="24"/>
          <w:szCs w:val="24"/>
        </w:rPr>
      </w:pPr>
      <w:r w:rsidRPr="00E74C8C">
        <w:rPr>
          <w:rFonts w:cstheme="minorHAnsi"/>
          <w:sz w:val="24"/>
          <w:szCs w:val="24"/>
        </w:rPr>
        <w:t>Satisfy</w:t>
      </w:r>
      <w:r w:rsidR="00BE639D" w:rsidRPr="00E74C8C">
        <w:rPr>
          <w:rFonts w:cstheme="minorHAnsi"/>
          <w:sz w:val="24"/>
          <w:szCs w:val="24"/>
        </w:rPr>
        <w:t xml:space="preserve"> itself that less significant risks are being actively managed, with the appropriate controls in place and working effectively </w:t>
      </w:r>
      <w:r w:rsidR="00F567C3" w:rsidRPr="00E74C8C">
        <w:rPr>
          <w:rFonts w:cstheme="minorHAnsi"/>
          <w:sz w:val="24"/>
          <w:szCs w:val="24"/>
        </w:rPr>
        <w:t>(i.e. effective management of the Operational Risk Register as well local or project risk registers)</w:t>
      </w:r>
    </w:p>
    <w:p w14:paraId="14E4DAD5" w14:textId="77777777" w:rsidR="00D7130D" w:rsidRPr="00E74C8C" w:rsidRDefault="00DC26C9" w:rsidP="00483D4B">
      <w:pPr>
        <w:pStyle w:val="ListParagraph"/>
        <w:numPr>
          <w:ilvl w:val="0"/>
          <w:numId w:val="5"/>
        </w:numPr>
        <w:rPr>
          <w:rFonts w:cstheme="minorHAnsi"/>
          <w:sz w:val="24"/>
          <w:szCs w:val="24"/>
        </w:rPr>
      </w:pPr>
      <w:r w:rsidRPr="00E74C8C">
        <w:rPr>
          <w:rFonts w:cstheme="minorHAnsi"/>
          <w:sz w:val="24"/>
          <w:szCs w:val="24"/>
        </w:rPr>
        <w:t>Annually</w:t>
      </w:r>
      <w:r w:rsidR="00BE639D" w:rsidRPr="00E74C8C">
        <w:rPr>
          <w:rFonts w:cstheme="minorHAnsi"/>
          <w:sz w:val="24"/>
          <w:szCs w:val="24"/>
        </w:rPr>
        <w:t xml:space="preserve"> review the University’s approach to risk management, and approve changes or improvements to key elements of its processes and procedures </w:t>
      </w:r>
    </w:p>
    <w:p w14:paraId="2AABCEC2" w14:textId="6A242AC2" w:rsidR="00DC26C9" w:rsidRPr="00E74C8C" w:rsidRDefault="00DC26C9" w:rsidP="00483D4B">
      <w:pPr>
        <w:pStyle w:val="ListParagraph"/>
        <w:numPr>
          <w:ilvl w:val="0"/>
          <w:numId w:val="5"/>
        </w:numPr>
        <w:rPr>
          <w:rFonts w:cstheme="minorHAnsi"/>
          <w:sz w:val="24"/>
          <w:szCs w:val="24"/>
        </w:rPr>
      </w:pPr>
      <w:r w:rsidRPr="00E74C8C">
        <w:rPr>
          <w:rFonts w:cstheme="minorHAnsi"/>
          <w:sz w:val="24"/>
          <w:szCs w:val="24"/>
        </w:rPr>
        <w:t>Approve</w:t>
      </w:r>
      <w:r w:rsidR="00BE639D" w:rsidRPr="00E74C8C">
        <w:rPr>
          <w:rFonts w:cstheme="minorHAnsi"/>
          <w:sz w:val="24"/>
          <w:szCs w:val="24"/>
        </w:rPr>
        <w:t xml:space="preserve"> the internal audit plan which is linked to the Strategic Risk Register </w:t>
      </w:r>
      <w:r w:rsidR="00834CE6" w:rsidRPr="00E74C8C">
        <w:rPr>
          <w:rFonts w:cstheme="minorHAnsi"/>
          <w:sz w:val="24"/>
          <w:szCs w:val="24"/>
        </w:rPr>
        <w:t xml:space="preserve">and </w:t>
      </w:r>
      <w:r w:rsidR="00F567C3" w:rsidRPr="00E74C8C">
        <w:rPr>
          <w:rFonts w:cstheme="minorHAnsi"/>
          <w:sz w:val="24"/>
          <w:szCs w:val="24"/>
        </w:rPr>
        <w:t xml:space="preserve">the </w:t>
      </w:r>
      <w:r w:rsidR="00834CE6" w:rsidRPr="00E74C8C">
        <w:rPr>
          <w:rFonts w:cstheme="minorHAnsi"/>
          <w:sz w:val="24"/>
          <w:szCs w:val="24"/>
        </w:rPr>
        <w:t>Operational Risk Register</w:t>
      </w:r>
    </w:p>
    <w:p w14:paraId="1C27B6DB" w14:textId="77777777" w:rsidR="00BE639D" w:rsidRPr="00E74C8C" w:rsidRDefault="00DC26C9" w:rsidP="00483D4B">
      <w:pPr>
        <w:pStyle w:val="ListParagraph"/>
        <w:numPr>
          <w:ilvl w:val="0"/>
          <w:numId w:val="5"/>
        </w:numPr>
        <w:rPr>
          <w:rFonts w:cstheme="minorHAnsi"/>
          <w:sz w:val="24"/>
          <w:szCs w:val="24"/>
        </w:rPr>
      </w:pPr>
      <w:r w:rsidRPr="00E74C8C">
        <w:rPr>
          <w:rFonts w:cstheme="minorHAnsi"/>
          <w:sz w:val="24"/>
          <w:szCs w:val="24"/>
        </w:rPr>
        <w:t>Report to Council</w:t>
      </w:r>
      <w:r w:rsidR="00BE639D" w:rsidRPr="00E74C8C">
        <w:rPr>
          <w:rFonts w:cstheme="minorHAnsi"/>
          <w:sz w:val="24"/>
          <w:szCs w:val="24"/>
        </w:rPr>
        <w:t xml:space="preserve"> on the effectiveness of risk management processes as appropriate</w:t>
      </w:r>
    </w:p>
    <w:p w14:paraId="3A9EA2E3" w14:textId="1ACBE823" w:rsidR="00DC3026" w:rsidRPr="00E74C8C" w:rsidRDefault="00DC3026" w:rsidP="00483D4B">
      <w:pPr>
        <w:pStyle w:val="ListParagraph"/>
        <w:numPr>
          <w:ilvl w:val="0"/>
          <w:numId w:val="5"/>
        </w:numPr>
        <w:rPr>
          <w:rFonts w:cstheme="minorHAnsi"/>
          <w:sz w:val="24"/>
          <w:szCs w:val="24"/>
        </w:rPr>
      </w:pPr>
      <w:r w:rsidRPr="00E74C8C">
        <w:rPr>
          <w:rFonts w:cstheme="minorHAnsi"/>
          <w:sz w:val="24"/>
          <w:szCs w:val="24"/>
        </w:rPr>
        <w:t>(</w:t>
      </w:r>
      <w:r w:rsidR="00834CE6" w:rsidRPr="00E74C8C">
        <w:rPr>
          <w:rFonts w:cstheme="minorHAnsi"/>
          <w:sz w:val="24"/>
          <w:szCs w:val="24"/>
        </w:rPr>
        <w:t>Suggested</w:t>
      </w:r>
      <w:r w:rsidRPr="00E74C8C">
        <w:rPr>
          <w:rFonts w:cstheme="minorHAnsi"/>
          <w:sz w:val="24"/>
          <w:szCs w:val="24"/>
        </w:rPr>
        <w:t>)Regularly monitor specific areas of risk in greater detail via a “deep dive”</w:t>
      </w:r>
    </w:p>
    <w:p w14:paraId="6EEA6028" w14:textId="77777777" w:rsidR="00DC26C9" w:rsidRPr="00E74C8C" w:rsidRDefault="00DC26C9" w:rsidP="00E74C8C">
      <w:pPr>
        <w:pStyle w:val="Heading2"/>
        <w:ind w:left="360"/>
        <w:rPr>
          <w:b/>
        </w:rPr>
      </w:pPr>
      <w:r w:rsidRPr="00E74C8C">
        <w:rPr>
          <w:b/>
        </w:rPr>
        <w:t>University Leadership Team</w:t>
      </w:r>
      <w:r w:rsidR="00BE639D" w:rsidRPr="00E74C8C">
        <w:rPr>
          <w:b/>
        </w:rPr>
        <w:t xml:space="preserve"> </w:t>
      </w:r>
    </w:p>
    <w:p w14:paraId="3077D272" w14:textId="77777777" w:rsidR="00DC26C9" w:rsidRPr="00E74C8C" w:rsidRDefault="00BE639D" w:rsidP="00D137B8">
      <w:pPr>
        <w:pStyle w:val="ListParagraph"/>
        <w:ind w:left="360"/>
        <w:rPr>
          <w:rFonts w:cstheme="minorHAnsi"/>
          <w:sz w:val="24"/>
          <w:szCs w:val="24"/>
        </w:rPr>
      </w:pPr>
      <w:r w:rsidRPr="00E74C8C">
        <w:rPr>
          <w:rFonts w:cstheme="minorHAnsi"/>
          <w:sz w:val="24"/>
          <w:szCs w:val="24"/>
        </w:rPr>
        <w:t xml:space="preserve">The University </w:t>
      </w:r>
      <w:r w:rsidR="00DC26C9" w:rsidRPr="00E74C8C">
        <w:rPr>
          <w:rFonts w:cstheme="minorHAnsi"/>
          <w:sz w:val="24"/>
          <w:szCs w:val="24"/>
        </w:rPr>
        <w:t>Leadership Team</w:t>
      </w:r>
      <w:r w:rsidRPr="00E74C8C">
        <w:rPr>
          <w:rFonts w:cstheme="minorHAnsi"/>
          <w:sz w:val="24"/>
          <w:szCs w:val="24"/>
        </w:rPr>
        <w:t xml:space="preserve"> is responsible for strategic risks by: </w:t>
      </w:r>
    </w:p>
    <w:p w14:paraId="7FD13940" w14:textId="2D4FEC31" w:rsidR="00DC26C9" w:rsidRPr="00E74C8C" w:rsidRDefault="00DC26C9" w:rsidP="00483D4B">
      <w:pPr>
        <w:pStyle w:val="ListParagraph"/>
        <w:numPr>
          <w:ilvl w:val="0"/>
          <w:numId w:val="4"/>
        </w:numPr>
        <w:rPr>
          <w:rFonts w:cstheme="minorHAnsi"/>
          <w:sz w:val="24"/>
          <w:szCs w:val="24"/>
        </w:rPr>
      </w:pPr>
      <w:r w:rsidRPr="00E74C8C">
        <w:rPr>
          <w:rFonts w:cstheme="minorHAnsi"/>
          <w:sz w:val="24"/>
          <w:szCs w:val="24"/>
        </w:rPr>
        <w:t>Identifying</w:t>
      </w:r>
      <w:r w:rsidR="00DC3026" w:rsidRPr="00E74C8C">
        <w:rPr>
          <w:rFonts w:cstheme="minorHAnsi"/>
          <w:sz w:val="24"/>
          <w:szCs w:val="24"/>
        </w:rPr>
        <w:t>,</w:t>
      </w:r>
      <w:r w:rsidR="00BE639D" w:rsidRPr="00E74C8C">
        <w:rPr>
          <w:rFonts w:cstheme="minorHAnsi"/>
          <w:sz w:val="24"/>
          <w:szCs w:val="24"/>
        </w:rPr>
        <w:t xml:space="preserve"> evaluating </w:t>
      </w:r>
      <w:r w:rsidR="00DC3026" w:rsidRPr="00E74C8C">
        <w:rPr>
          <w:rFonts w:cstheme="minorHAnsi"/>
          <w:sz w:val="24"/>
          <w:szCs w:val="24"/>
        </w:rPr>
        <w:t xml:space="preserve">and acting as risk owner for </w:t>
      </w:r>
      <w:r w:rsidR="00BE639D" w:rsidRPr="00E74C8C">
        <w:rPr>
          <w:rFonts w:cstheme="minorHAnsi"/>
          <w:sz w:val="24"/>
          <w:szCs w:val="24"/>
        </w:rPr>
        <w:t>significant risks faced by the Unive</w:t>
      </w:r>
      <w:r w:rsidRPr="00E74C8C">
        <w:rPr>
          <w:rFonts w:cstheme="minorHAnsi"/>
          <w:sz w:val="24"/>
          <w:szCs w:val="24"/>
        </w:rPr>
        <w:t>rsity for consideration by Council</w:t>
      </w:r>
      <w:r w:rsidR="00BE639D" w:rsidRPr="00E74C8C">
        <w:rPr>
          <w:rFonts w:cstheme="minorHAnsi"/>
          <w:sz w:val="24"/>
          <w:szCs w:val="24"/>
        </w:rPr>
        <w:t xml:space="preserve">, via Audit </w:t>
      </w:r>
      <w:r w:rsidR="003D7B3F" w:rsidRPr="00E74C8C">
        <w:rPr>
          <w:rFonts w:cstheme="minorHAnsi"/>
          <w:sz w:val="24"/>
          <w:szCs w:val="24"/>
        </w:rPr>
        <w:t xml:space="preserve">and Risk </w:t>
      </w:r>
      <w:r w:rsidR="00BE639D" w:rsidRPr="00E74C8C">
        <w:rPr>
          <w:rFonts w:cstheme="minorHAnsi"/>
          <w:sz w:val="24"/>
          <w:szCs w:val="24"/>
        </w:rPr>
        <w:t xml:space="preserve">Committee </w:t>
      </w:r>
    </w:p>
    <w:p w14:paraId="188E444A" w14:textId="77777777" w:rsidR="00DC26C9" w:rsidRPr="00E74C8C" w:rsidRDefault="00DC26C9" w:rsidP="00483D4B">
      <w:pPr>
        <w:pStyle w:val="ListParagraph"/>
        <w:numPr>
          <w:ilvl w:val="0"/>
          <w:numId w:val="4"/>
        </w:numPr>
        <w:rPr>
          <w:rFonts w:cstheme="minorHAnsi"/>
          <w:sz w:val="24"/>
          <w:szCs w:val="24"/>
        </w:rPr>
      </w:pPr>
      <w:r w:rsidRPr="00E74C8C">
        <w:rPr>
          <w:rFonts w:cstheme="minorHAnsi"/>
          <w:sz w:val="24"/>
          <w:szCs w:val="24"/>
        </w:rPr>
        <w:t>Implementing</w:t>
      </w:r>
      <w:r w:rsidR="00BE639D" w:rsidRPr="00E74C8C">
        <w:rPr>
          <w:rFonts w:cstheme="minorHAnsi"/>
          <w:sz w:val="24"/>
          <w:szCs w:val="24"/>
        </w:rPr>
        <w:t xml:space="preserve"> policies on risk m</w:t>
      </w:r>
      <w:r w:rsidRPr="00E74C8C">
        <w:rPr>
          <w:rFonts w:cstheme="minorHAnsi"/>
          <w:sz w:val="24"/>
          <w:szCs w:val="24"/>
        </w:rPr>
        <w:t>anagement and internal control</w:t>
      </w:r>
      <w:r w:rsidR="00BE639D" w:rsidRPr="00E74C8C">
        <w:rPr>
          <w:rFonts w:cstheme="minorHAnsi"/>
          <w:sz w:val="24"/>
          <w:szCs w:val="24"/>
        </w:rPr>
        <w:t xml:space="preserve"> </w:t>
      </w:r>
    </w:p>
    <w:p w14:paraId="24DE7E10" w14:textId="19981FEF" w:rsidR="00DC26C9" w:rsidRPr="00E74C8C" w:rsidRDefault="00483D4B" w:rsidP="00483D4B">
      <w:pPr>
        <w:pStyle w:val="ListParagraph"/>
        <w:numPr>
          <w:ilvl w:val="0"/>
          <w:numId w:val="4"/>
        </w:numPr>
        <w:rPr>
          <w:rFonts w:cstheme="minorHAnsi"/>
          <w:sz w:val="24"/>
          <w:szCs w:val="24"/>
        </w:rPr>
      </w:pPr>
      <w:r w:rsidRPr="00E74C8C">
        <w:rPr>
          <w:rFonts w:cstheme="minorHAnsi"/>
          <w:sz w:val="24"/>
          <w:szCs w:val="24"/>
        </w:rPr>
        <w:t>P</w:t>
      </w:r>
      <w:r w:rsidR="00BE639D" w:rsidRPr="00E74C8C">
        <w:rPr>
          <w:rFonts w:cstheme="minorHAnsi"/>
          <w:sz w:val="24"/>
          <w:szCs w:val="24"/>
        </w:rPr>
        <w:t>roviding adequate informa</w:t>
      </w:r>
      <w:r w:rsidR="00DC26C9" w:rsidRPr="00E74C8C">
        <w:rPr>
          <w:rFonts w:cstheme="minorHAnsi"/>
          <w:sz w:val="24"/>
          <w:szCs w:val="24"/>
        </w:rPr>
        <w:t>tion in a timely manner to Council</w:t>
      </w:r>
      <w:r w:rsidR="00BE639D" w:rsidRPr="00E74C8C">
        <w:rPr>
          <w:rFonts w:cstheme="minorHAnsi"/>
          <w:sz w:val="24"/>
          <w:szCs w:val="24"/>
        </w:rPr>
        <w:t xml:space="preserve">, via Audit </w:t>
      </w:r>
      <w:r w:rsidR="003D7B3F" w:rsidRPr="00E74C8C">
        <w:rPr>
          <w:rFonts w:cstheme="minorHAnsi"/>
          <w:sz w:val="24"/>
          <w:szCs w:val="24"/>
        </w:rPr>
        <w:t xml:space="preserve">and Risk </w:t>
      </w:r>
      <w:r w:rsidR="00BE639D" w:rsidRPr="00E74C8C">
        <w:rPr>
          <w:rFonts w:cstheme="minorHAnsi"/>
          <w:sz w:val="24"/>
          <w:szCs w:val="24"/>
        </w:rPr>
        <w:t xml:space="preserve">Committee, on the status of risks and control measures </w:t>
      </w:r>
    </w:p>
    <w:p w14:paraId="0696E19D" w14:textId="77777777" w:rsidR="00DC26C9" w:rsidRPr="00E74C8C" w:rsidRDefault="00DC26C9" w:rsidP="00483D4B">
      <w:pPr>
        <w:pStyle w:val="ListParagraph"/>
        <w:numPr>
          <w:ilvl w:val="0"/>
          <w:numId w:val="4"/>
        </w:numPr>
        <w:rPr>
          <w:rFonts w:cstheme="minorHAnsi"/>
          <w:sz w:val="24"/>
          <w:szCs w:val="24"/>
        </w:rPr>
      </w:pPr>
      <w:r w:rsidRPr="00E74C8C">
        <w:rPr>
          <w:rFonts w:cstheme="minorHAnsi"/>
          <w:sz w:val="24"/>
          <w:szCs w:val="24"/>
        </w:rPr>
        <w:t>Regularly</w:t>
      </w:r>
      <w:r w:rsidR="00BE639D" w:rsidRPr="00E74C8C">
        <w:rPr>
          <w:rFonts w:cstheme="minorHAnsi"/>
          <w:sz w:val="24"/>
          <w:szCs w:val="24"/>
        </w:rPr>
        <w:t xml:space="preserve"> reviewing the effectiveness</w:t>
      </w:r>
      <w:r w:rsidRPr="00E74C8C">
        <w:rPr>
          <w:rFonts w:cstheme="minorHAnsi"/>
          <w:sz w:val="24"/>
          <w:szCs w:val="24"/>
        </w:rPr>
        <w:t xml:space="preserve"> and implementation</w:t>
      </w:r>
      <w:r w:rsidR="00BE639D" w:rsidRPr="00E74C8C">
        <w:rPr>
          <w:rFonts w:cstheme="minorHAnsi"/>
          <w:sz w:val="24"/>
          <w:szCs w:val="24"/>
        </w:rPr>
        <w:t xml:space="preserve"> of internal controls</w:t>
      </w:r>
      <w:r w:rsidRPr="00E74C8C">
        <w:rPr>
          <w:rFonts w:cstheme="minorHAnsi"/>
          <w:sz w:val="24"/>
          <w:szCs w:val="24"/>
        </w:rPr>
        <w:t xml:space="preserve"> and mitigations</w:t>
      </w:r>
      <w:r w:rsidR="00BE639D" w:rsidRPr="00E74C8C">
        <w:rPr>
          <w:rFonts w:cstheme="minorHAnsi"/>
          <w:sz w:val="24"/>
          <w:szCs w:val="24"/>
        </w:rPr>
        <w:t xml:space="preserve"> </w:t>
      </w:r>
    </w:p>
    <w:p w14:paraId="4E0CFA02" w14:textId="0B940183" w:rsidR="00F567C3" w:rsidRPr="00E74C8C" w:rsidRDefault="00F567C3" w:rsidP="00483D4B">
      <w:pPr>
        <w:pStyle w:val="ListParagraph"/>
        <w:numPr>
          <w:ilvl w:val="0"/>
          <w:numId w:val="4"/>
        </w:numPr>
        <w:rPr>
          <w:rFonts w:cstheme="minorHAnsi"/>
          <w:sz w:val="24"/>
          <w:szCs w:val="24"/>
        </w:rPr>
      </w:pPr>
      <w:r w:rsidRPr="00E74C8C">
        <w:rPr>
          <w:rFonts w:cstheme="minorHAnsi"/>
          <w:sz w:val="24"/>
          <w:szCs w:val="24"/>
        </w:rPr>
        <w:t>Overall responsibility for ensuring that the Operational Risk Register is effectively managed</w:t>
      </w:r>
    </w:p>
    <w:p w14:paraId="7CCACFD4" w14:textId="39351E60" w:rsidR="00F567C3" w:rsidRPr="00E74C8C" w:rsidRDefault="00F567C3" w:rsidP="00483D4B">
      <w:pPr>
        <w:pStyle w:val="ListParagraph"/>
        <w:numPr>
          <w:ilvl w:val="0"/>
          <w:numId w:val="4"/>
        </w:numPr>
        <w:rPr>
          <w:rFonts w:cstheme="minorHAnsi"/>
          <w:sz w:val="24"/>
          <w:szCs w:val="24"/>
        </w:rPr>
      </w:pPr>
      <w:r w:rsidRPr="00E74C8C">
        <w:rPr>
          <w:rFonts w:cstheme="minorHAnsi"/>
          <w:sz w:val="24"/>
          <w:szCs w:val="24"/>
        </w:rPr>
        <w:t>Overall responsibility for promoting a culture of risk management across the institution</w:t>
      </w:r>
    </w:p>
    <w:p w14:paraId="6EC77FBA" w14:textId="0CFF2910" w:rsidR="00687FFB" w:rsidRPr="00E74C8C" w:rsidRDefault="00687FFB" w:rsidP="00483D4B">
      <w:pPr>
        <w:pStyle w:val="ListParagraph"/>
        <w:numPr>
          <w:ilvl w:val="0"/>
          <w:numId w:val="4"/>
        </w:numPr>
        <w:rPr>
          <w:rFonts w:cstheme="minorHAnsi"/>
          <w:sz w:val="24"/>
          <w:szCs w:val="24"/>
        </w:rPr>
      </w:pPr>
      <w:r w:rsidRPr="00E74C8C">
        <w:rPr>
          <w:rFonts w:cstheme="minorHAnsi"/>
          <w:sz w:val="24"/>
          <w:szCs w:val="24"/>
        </w:rPr>
        <w:t>Monitor and discuss risk as a standing item on the agenda of ULT</w:t>
      </w:r>
    </w:p>
    <w:p w14:paraId="49E05296" w14:textId="77777777" w:rsidR="00DC26C9" w:rsidRPr="00E74C8C" w:rsidRDefault="00DC26C9" w:rsidP="00E74C8C">
      <w:pPr>
        <w:pStyle w:val="Heading2"/>
        <w:ind w:left="360"/>
        <w:rPr>
          <w:b/>
        </w:rPr>
      </w:pPr>
      <w:r w:rsidRPr="00E74C8C">
        <w:rPr>
          <w:b/>
        </w:rPr>
        <w:lastRenderedPageBreak/>
        <w:t>University Operations Team</w:t>
      </w:r>
    </w:p>
    <w:p w14:paraId="3DCD1E55" w14:textId="5CBA8DF7" w:rsidR="00DC26C9" w:rsidRPr="00E74C8C" w:rsidRDefault="00DC26C9" w:rsidP="00D137B8">
      <w:pPr>
        <w:pStyle w:val="ListParagraph"/>
        <w:ind w:left="360"/>
        <w:rPr>
          <w:rFonts w:cstheme="minorHAnsi"/>
          <w:sz w:val="24"/>
          <w:szCs w:val="24"/>
        </w:rPr>
      </w:pPr>
      <w:r w:rsidRPr="00E74C8C">
        <w:rPr>
          <w:rFonts w:cstheme="minorHAnsi"/>
          <w:sz w:val="24"/>
          <w:szCs w:val="24"/>
        </w:rPr>
        <w:t xml:space="preserve">The University Operations Team </w:t>
      </w:r>
      <w:r w:rsidR="00BE639D" w:rsidRPr="00E74C8C">
        <w:rPr>
          <w:rFonts w:cstheme="minorHAnsi"/>
          <w:sz w:val="24"/>
          <w:szCs w:val="24"/>
        </w:rPr>
        <w:t>are responsible for identifying, assessin</w:t>
      </w:r>
      <w:r w:rsidRPr="00E74C8C">
        <w:rPr>
          <w:rFonts w:cstheme="minorHAnsi"/>
          <w:sz w:val="24"/>
          <w:szCs w:val="24"/>
        </w:rPr>
        <w:t>g and monitoring risks at Faculty</w:t>
      </w:r>
      <w:r w:rsidR="00BE639D" w:rsidRPr="00E74C8C">
        <w:rPr>
          <w:rFonts w:cstheme="minorHAnsi"/>
          <w:sz w:val="24"/>
          <w:szCs w:val="24"/>
        </w:rPr>
        <w:t xml:space="preserve"> and service level</w:t>
      </w:r>
      <w:r w:rsidR="00687FFB" w:rsidRPr="00E74C8C">
        <w:rPr>
          <w:rFonts w:cstheme="minorHAnsi"/>
          <w:sz w:val="24"/>
          <w:szCs w:val="24"/>
        </w:rPr>
        <w:t>, this includes</w:t>
      </w:r>
      <w:r w:rsidRPr="00E74C8C">
        <w:rPr>
          <w:rFonts w:cstheme="minorHAnsi"/>
          <w:sz w:val="24"/>
          <w:szCs w:val="24"/>
        </w:rPr>
        <w:t xml:space="preserve"> operational or compliance risks across the University</w:t>
      </w:r>
      <w:r w:rsidR="00BE639D" w:rsidRPr="00E74C8C">
        <w:rPr>
          <w:rFonts w:cstheme="minorHAnsi"/>
          <w:sz w:val="24"/>
          <w:szCs w:val="24"/>
        </w:rPr>
        <w:t>.</w:t>
      </w:r>
      <w:r w:rsidR="001042E4" w:rsidRPr="00E74C8C">
        <w:rPr>
          <w:rFonts w:cstheme="minorHAnsi"/>
          <w:sz w:val="24"/>
          <w:szCs w:val="24"/>
        </w:rPr>
        <w:t xml:space="preserve"> </w:t>
      </w:r>
      <w:r w:rsidR="00BE639D" w:rsidRPr="00E74C8C">
        <w:rPr>
          <w:rFonts w:cstheme="minorHAnsi"/>
          <w:sz w:val="24"/>
          <w:szCs w:val="24"/>
        </w:rPr>
        <w:t xml:space="preserve"> They will: </w:t>
      </w:r>
    </w:p>
    <w:p w14:paraId="0111748E" w14:textId="77777777" w:rsidR="00483D4B" w:rsidRPr="00E74C8C" w:rsidRDefault="00483D4B" w:rsidP="00483D4B">
      <w:pPr>
        <w:pStyle w:val="ListParagraph"/>
        <w:numPr>
          <w:ilvl w:val="0"/>
          <w:numId w:val="7"/>
        </w:numPr>
        <w:rPr>
          <w:rFonts w:cstheme="minorHAnsi"/>
          <w:sz w:val="24"/>
          <w:szCs w:val="24"/>
        </w:rPr>
      </w:pPr>
      <w:r w:rsidRPr="00E74C8C">
        <w:rPr>
          <w:rFonts w:cstheme="minorHAnsi"/>
          <w:sz w:val="24"/>
          <w:szCs w:val="24"/>
        </w:rPr>
        <w:t xml:space="preserve">Identify and act as risk owners for appropriate University level operational or compliance risks, escalating such risks to </w:t>
      </w:r>
      <w:r w:rsidR="00DC3026" w:rsidRPr="00E74C8C">
        <w:rPr>
          <w:rFonts w:cstheme="minorHAnsi"/>
          <w:sz w:val="24"/>
          <w:szCs w:val="24"/>
        </w:rPr>
        <w:t>the S</w:t>
      </w:r>
      <w:r w:rsidRPr="00E74C8C">
        <w:rPr>
          <w:rFonts w:cstheme="minorHAnsi"/>
          <w:sz w:val="24"/>
          <w:szCs w:val="24"/>
        </w:rPr>
        <w:t xml:space="preserve">trategic </w:t>
      </w:r>
      <w:r w:rsidR="00DC3026" w:rsidRPr="00E74C8C">
        <w:rPr>
          <w:rFonts w:cstheme="minorHAnsi"/>
          <w:sz w:val="24"/>
          <w:szCs w:val="24"/>
        </w:rPr>
        <w:t>Risk R</w:t>
      </w:r>
      <w:r w:rsidRPr="00E74C8C">
        <w:rPr>
          <w:rFonts w:cstheme="minorHAnsi"/>
          <w:sz w:val="24"/>
          <w:szCs w:val="24"/>
        </w:rPr>
        <w:t>egister when appropriate</w:t>
      </w:r>
    </w:p>
    <w:p w14:paraId="15B11E9D" w14:textId="69F81EEE" w:rsidR="00DC26C9" w:rsidRPr="00E74C8C" w:rsidRDefault="00DC26C9" w:rsidP="00483D4B">
      <w:pPr>
        <w:pStyle w:val="ListParagraph"/>
        <w:numPr>
          <w:ilvl w:val="0"/>
          <w:numId w:val="7"/>
        </w:numPr>
        <w:rPr>
          <w:rFonts w:cstheme="minorHAnsi"/>
          <w:sz w:val="24"/>
          <w:szCs w:val="24"/>
        </w:rPr>
      </w:pPr>
      <w:r w:rsidRPr="00E74C8C">
        <w:rPr>
          <w:rFonts w:cstheme="minorHAnsi"/>
          <w:sz w:val="24"/>
          <w:szCs w:val="24"/>
        </w:rPr>
        <w:t>Disseminate</w:t>
      </w:r>
      <w:r w:rsidR="00BE639D" w:rsidRPr="00E74C8C">
        <w:rPr>
          <w:rFonts w:cstheme="minorHAnsi"/>
          <w:sz w:val="24"/>
          <w:szCs w:val="24"/>
        </w:rPr>
        <w:t xml:space="preserve"> good and appropriate r</w:t>
      </w:r>
      <w:r w:rsidRPr="00E74C8C">
        <w:rPr>
          <w:rFonts w:cstheme="minorHAnsi"/>
          <w:sz w:val="24"/>
          <w:szCs w:val="24"/>
        </w:rPr>
        <w:t>isk practice within their Faculty</w:t>
      </w:r>
      <w:r w:rsidR="00BE639D" w:rsidRPr="00E74C8C">
        <w:rPr>
          <w:rFonts w:cstheme="minorHAnsi"/>
          <w:sz w:val="24"/>
          <w:szCs w:val="24"/>
        </w:rPr>
        <w:t>/service</w:t>
      </w:r>
      <w:r w:rsidR="00687FFB" w:rsidRPr="00E74C8C">
        <w:rPr>
          <w:rFonts w:cstheme="minorHAnsi"/>
          <w:sz w:val="24"/>
          <w:szCs w:val="24"/>
        </w:rPr>
        <w:t xml:space="preserve"> area</w:t>
      </w:r>
    </w:p>
    <w:p w14:paraId="46F03B43" w14:textId="77777777" w:rsidR="00483D4B" w:rsidRPr="00E74C8C" w:rsidRDefault="00DC26C9" w:rsidP="00483D4B">
      <w:pPr>
        <w:pStyle w:val="ListParagraph"/>
        <w:numPr>
          <w:ilvl w:val="0"/>
          <w:numId w:val="7"/>
        </w:numPr>
        <w:rPr>
          <w:rFonts w:cstheme="minorHAnsi"/>
          <w:sz w:val="24"/>
          <w:szCs w:val="24"/>
        </w:rPr>
      </w:pPr>
      <w:r w:rsidRPr="00E74C8C">
        <w:rPr>
          <w:rFonts w:cstheme="minorHAnsi"/>
          <w:sz w:val="24"/>
          <w:szCs w:val="24"/>
        </w:rPr>
        <w:t>Identify</w:t>
      </w:r>
      <w:r w:rsidR="00BE639D" w:rsidRPr="00E74C8C">
        <w:rPr>
          <w:rFonts w:cstheme="minorHAnsi"/>
          <w:sz w:val="24"/>
          <w:szCs w:val="24"/>
        </w:rPr>
        <w:t>, monitor and a</w:t>
      </w:r>
      <w:r w:rsidRPr="00E74C8C">
        <w:rPr>
          <w:rFonts w:cstheme="minorHAnsi"/>
          <w:sz w:val="24"/>
          <w:szCs w:val="24"/>
        </w:rPr>
        <w:t>ssess risk issues within their Faculty</w:t>
      </w:r>
      <w:r w:rsidR="00BE639D" w:rsidRPr="00E74C8C">
        <w:rPr>
          <w:rFonts w:cstheme="minorHAnsi"/>
          <w:sz w:val="24"/>
          <w:szCs w:val="24"/>
        </w:rPr>
        <w:t>/service</w:t>
      </w:r>
      <w:r w:rsidRPr="00E74C8C">
        <w:rPr>
          <w:rFonts w:cstheme="minorHAnsi"/>
          <w:sz w:val="24"/>
          <w:szCs w:val="24"/>
        </w:rPr>
        <w:t xml:space="preserve"> or area of operational responsibility</w:t>
      </w:r>
    </w:p>
    <w:p w14:paraId="091E5099" w14:textId="2F25217E" w:rsidR="00483D4B" w:rsidRPr="00E74C8C" w:rsidRDefault="00DC26C9" w:rsidP="00483D4B">
      <w:pPr>
        <w:pStyle w:val="ListParagraph"/>
        <w:numPr>
          <w:ilvl w:val="0"/>
          <w:numId w:val="7"/>
        </w:numPr>
        <w:rPr>
          <w:rFonts w:cstheme="minorHAnsi"/>
          <w:sz w:val="24"/>
          <w:szCs w:val="24"/>
        </w:rPr>
      </w:pPr>
      <w:r w:rsidRPr="00E74C8C">
        <w:rPr>
          <w:rFonts w:cstheme="minorHAnsi"/>
          <w:sz w:val="24"/>
          <w:szCs w:val="24"/>
        </w:rPr>
        <w:t>M</w:t>
      </w:r>
      <w:r w:rsidR="00BE639D" w:rsidRPr="00E74C8C">
        <w:rPr>
          <w:rFonts w:cstheme="minorHAnsi"/>
          <w:sz w:val="24"/>
          <w:szCs w:val="24"/>
        </w:rPr>
        <w:t>onitor and discuss risk as a st</w:t>
      </w:r>
      <w:r w:rsidR="00B430C4">
        <w:rPr>
          <w:rFonts w:cstheme="minorHAnsi"/>
          <w:sz w:val="24"/>
          <w:szCs w:val="24"/>
        </w:rPr>
        <w:t>anding item on the agenda of UO</w:t>
      </w:r>
      <w:r w:rsidRPr="00E74C8C">
        <w:rPr>
          <w:rFonts w:cstheme="minorHAnsi"/>
          <w:sz w:val="24"/>
          <w:szCs w:val="24"/>
        </w:rPr>
        <w:t>T</w:t>
      </w:r>
    </w:p>
    <w:p w14:paraId="557A1819" w14:textId="77777777" w:rsidR="00687FFB" w:rsidRPr="00E74C8C" w:rsidRDefault="00687FFB" w:rsidP="00687FFB">
      <w:pPr>
        <w:pStyle w:val="ListParagraph"/>
        <w:ind w:left="360"/>
        <w:rPr>
          <w:rFonts w:cstheme="minorHAnsi"/>
          <w:sz w:val="24"/>
          <w:szCs w:val="24"/>
        </w:rPr>
      </w:pPr>
    </w:p>
    <w:p w14:paraId="7BE5136B" w14:textId="0E57F0DB" w:rsidR="00687FFB" w:rsidRPr="00E74C8C" w:rsidRDefault="00687FFB" w:rsidP="00181B56">
      <w:pPr>
        <w:pStyle w:val="ListParagraph"/>
        <w:ind w:left="360"/>
        <w:jc w:val="both"/>
        <w:rPr>
          <w:rFonts w:cstheme="minorHAnsi"/>
          <w:b/>
          <w:sz w:val="24"/>
          <w:szCs w:val="24"/>
        </w:rPr>
      </w:pPr>
      <w:r w:rsidRPr="00E74C8C">
        <w:rPr>
          <w:rFonts w:cstheme="minorHAnsi"/>
          <w:b/>
          <w:sz w:val="24"/>
          <w:szCs w:val="24"/>
        </w:rPr>
        <w:t xml:space="preserve">NB The </w:t>
      </w:r>
      <w:r w:rsidR="00C91F28">
        <w:rPr>
          <w:rFonts w:cstheme="minorHAnsi"/>
          <w:b/>
          <w:sz w:val="24"/>
          <w:szCs w:val="24"/>
        </w:rPr>
        <w:t>overlap in membership between UO</w:t>
      </w:r>
      <w:r w:rsidRPr="00E74C8C">
        <w:rPr>
          <w:rFonts w:cstheme="minorHAnsi"/>
          <w:b/>
          <w:sz w:val="24"/>
          <w:szCs w:val="24"/>
        </w:rPr>
        <w:t xml:space="preserve">T and ULT will ensure that operational or compliance risks are escalated appropriately to the Strategic Risk Register and hence to the attention of Council (via Audit </w:t>
      </w:r>
      <w:r w:rsidR="003D7B3F" w:rsidRPr="00E74C8C">
        <w:rPr>
          <w:rFonts w:cstheme="minorHAnsi"/>
          <w:b/>
          <w:sz w:val="24"/>
          <w:szCs w:val="24"/>
        </w:rPr>
        <w:t xml:space="preserve">and Risk </w:t>
      </w:r>
      <w:r w:rsidRPr="00E74C8C">
        <w:rPr>
          <w:rFonts w:cstheme="minorHAnsi"/>
          <w:b/>
          <w:sz w:val="24"/>
          <w:szCs w:val="24"/>
        </w:rPr>
        <w:t>Committee)</w:t>
      </w:r>
    </w:p>
    <w:p w14:paraId="6B06B1E1" w14:textId="77777777" w:rsidR="00483D4B" w:rsidRPr="00E74C8C" w:rsidRDefault="00BE639D" w:rsidP="00E74C8C">
      <w:pPr>
        <w:pStyle w:val="Heading2"/>
        <w:ind w:left="360"/>
        <w:rPr>
          <w:b/>
        </w:rPr>
      </w:pPr>
      <w:r w:rsidRPr="00E74C8C">
        <w:rPr>
          <w:b/>
        </w:rPr>
        <w:t>Staff and students</w:t>
      </w:r>
    </w:p>
    <w:p w14:paraId="7AE2FCB2" w14:textId="57BB8C02" w:rsidR="00BE639D" w:rsidRPr="00E74C8C" w:rsidRDefault="00BE639D" w:rsidP="00181B56">
      <w:pPr>
        <w:ind w:left="360"/>
        <w:rPr>
          <w:rFonts w:cstheme="minorHAnsi"/>
          <w:sz w:val="24"/>
          <w:szCs w:val="24"/>
        </w:rPr>
      </w:pPr>
      <w:r w:rsidRPr="00E74C8C">
        <w:rPr>
          <w:rFonts w:cstheme="minorHAnsi"/>
          <w:sz w:val="24"/>
          <w:szCs w:val="24"/>
        </w:rPr>
        <w:t>Effective risk management depends on the commitment and co-operation of all staff and students</w:t>
      </w:r>
      <w:r w:rsidR="00007D8C" w:rsidRPr="00E74C8C">
        <w:rPr>
          <w:rFonts w:cstheme="minorHAnsi"/>
          <w:sz w:val="24"/>
          <w:szCs w:val="24"/>
        </w:rPr>
        <w:t xml:space="preserve"> (refer to the “Three Lines Model” as cited above)</w:t>
      </w:r>
      <w:r w:rsidRPr="00E74C8C">
        <w:rPr>
          <w:rFonts w:cstheme="minorHAnsi"/>
          <w:sz w:val="24"/>
          <w:szCs w:val="24"/>
        </w:rPr>
        <w:t xml:space="preserve">. </w:t>
      </w:r>
      <w:r w:rsidR="001042E4" w:rsidRPr="00E74C8C">
        <w:rPr>
          <w:rFonts w:cstheme="minorHAnsi"/>
          <w:sz w:val="24"/>
          <w:szCs w:val="24"/>
        </w:rPr>
        <w:t xml:space="preserve"> </w:t>
      </w:r>
      <w:r w:rsidRPr="00E74C8C">
        <w:rPr>
          <w:rFonts w:cstheme="minorHAnsi"/>
          <w:sz w:val="24"/>
          <w:szCs w:val="24"/>
        </w:rPr>
        <w:t>All staff have a significant role in the management of risk, particularly within their own areas of control.</w:t>
      </w:r>
      <w:r w:rsidR="001042E4" w:rsidRPr="00E74C8C">
        <w:rPr>
          <w:rFonts w:cstheme="minorHAnsi"/>
          <w:sz w:val="24"/>
          <w:szCs w:val="24"/>
        </w:rPr>
        <w:t xml:space="preserve"> </w:t>
      </w:r>
      <w:r w:rsidRPr="00E74C8C">
        <w:rPr>
          <w:rFonts w:cstheme="minorHAnsi"/>
          <w:sz w:val="24"/>
          <w:szCs w:val="24"/>
        </w:rPr>
        <w:t xml:space="preserve"> Project managers and project teams are responsible for managing project-specific risk and will complete a project risk register to demonstrate that this is being done.</w:t>
      </w:r>
    </w:p>
    <w:p w14:paraId="5E585BFD" w14:textId="77777777" w:rsidR="002D7F33" w:rsidRPr="00E74C8C" w:rsidRDefault="002D7F33" w:rsidP="00483D4B">
      <w:pPr>
        <w:rPr>
          <w:rFonts w:cstheme="minorHAnsi"/>
          <w:b/>
          <w:sz w:val="24"/>
          <w:szCs w:val="24"/>
          <w:u w:val="single"/>
        </w:rPr>
      </w:pPr>
    </w:p>
    <w:p w14:paraId="3C035FED" w14:textId="3341F906" w:rsidR="00E74C8C" w:rsidRDefault="00E74C8C">
      <w:pPr>
        <w:rPr>
          <w:rFonts w:cstheme="minorHAnsi"/>
          <w:b/>
          <w:sz w:val="24"/>
          <w:szCs w:val="24"/>
          <w:u w:val="single"/>
        </w:rPr>
      </w:pPr>
      <w:r>
        <w:rPr>
          <w:rFonts w:cstheme="minorHAnsi"/>
          <w:b/>
          <w:sz w:val="24"/>
          <w:szCs w:val="24"/>
          <w:u w:val="single"/>
        </w:rPr>
        <w:br w:type="page"/>
      </w:r>
    </w:p>
    <w:p w14:paraId="773DBB76" w14:textId="7C30ECE1" w:rsidR="001042E4" w:rsidRDefault="00181B56" w:rsidP="008E17A3">
      <w:pPr>
        <w:pStyle w:val="Heading1"/>
      </w:pPr>
      <w:r w:rsidRPr="00E74C8C">
        <w:lastRenderedPageBreak/>
        <w:t>Appendix A</w:t>
      </w:r>
    </w:p>
    <w:p w14:paraId="7BFC74E9" w14:textId="77777777" w:rsidR="007E5837" w:rsidRPr="007E5837" w:rsidRDefault="007E5837" w:rsidP="007E5837">
      <w:pPr>
        <w:spacing w:after="0" w:line="240" w:lineRule="auto"/>
      </w:pPr>
    </w:p>
    <w:p w14:paraId="02AAB6C8" w14:textId="7D6A222A" w:rsidR="00F40CB0" w:rsidRDefault="00F40CB0" w:rsidP="007E5837">
      <w:pPr>
        <w:pStyle w:val="Heading2"/>
        <w:jc w:val="center"/>
        <w:rPr>
          <w:b/>
        </w:rPr>
      </w:pPr>
      <w:r w:rsidRPr="00F72075">
        <w:rPr>
          <w:b/>
        </w:rPr>
        <w:t>Risk Management Process</w:t>
      </w:r>
    </w:p>
    <w:p w14:paraId="6BAD9918" w14:textId="77777777" w:rsidR="006419A9" w:rsidRPr="006419A9" w:rsidRDefault="006419A9" w:rsidP="006419A9">
      <w:pPr>
        <w:spacing w:after="0" w:line="240" w:lineRule="auto"/>
      </w:pPr>
    </w:p>
    <w:p w14:paraId="78F9AFA5" w14:textId="7DD72706" w:rsidR="00AB29BB" w:rsidRDefault="00AB29BB" w:rsidP="00F72075">
      <w:pPr>
        <w:pStyle w:val="Heading3"/>
        <w:numPr>
          <w:ilvl w:val="0"/>
          <w:numId w:val="14"/>
        </w:numPr>
        <w:rPr>
          <w:b/>
        </w:rPr>
      </w:pPr>
      <w:r w:rsidRPr="00F72075">
        <w:rPr>
          <w:b/>
        </w:rPr>
        <w:t>Identification of Risks</w:t>
      </w:r>
    </w:p>
    <w:p w14:paraId="42011461" w14:textId="77777777" w:rsidR="006419A9" w:rsidRPr="006419A9" w:rsidRDefault="006419A9" w:rsidP="006419A9">
      <w:pPr>
        <w:spacing w:after="0" w:line="240" w:lineRule="auto"/>
      </w:pPr>
    </w:p>
    <w:p w14:paraId="731536D0" w14:textId="74E175B1" w:rsidR="00433980" w:rsidRPr="00B430C4" w:rsidRDefault="00433980" w:rsidP="00F72075">
      <w:pPr>
        <w:pStyle w:val="Heading4"/>
        <w:rPr>
          <w:sz w:val="24"/>
          <w:szCs w:val="24"/>
        </w:rPr>
      </w:pPr>
      <w:r w:rsidRPr="00B430C4">
        <w:rPr>
          <w:sz w:val="24"/>
          <w:szCs w:val="24"/>
        </w:rPr>
        <w:t>1.1 Defining the Risks</w:t>
      </w:r>
    </w:p>
    <w:p w14:paraId="1E2771C2" w14:textId="4BB1B3BF" w:rsidR="00AB29BB" w:rsidRDefault="00433980" w:rsidP="006419A9">
      <w:pPr>
        <w:pStyle w:val="NormalWeb"/>
        <w:shd w:val="clear" w:color="auto" w:fill="FFFFFF"/>
        <w:spacing w:before="0" w:beforeAutospacing="0" w:after="0" w:afterAutospacing="0"/>
        <w:rPr>
          <w:rFonts w:asciiTheme="minorHAnsi" w:hAnsiTheme="minorHAnsi" w:cstheme="minorHAnsi"/>
          <w:color w:val="333333"/>
        </w:rPr>
      </w:pPr>
      <w:r w:rsidRPr="00E74C8C">
        <w:rPr>
          <w:rFonts w:asciiTheme="minorHAnsi" w:hAnsiTheme="minorHAnsi" w:cstheme="minorHAnsi"/>
          <w:color w:val="333333"/>
        </w:rPr>
        <w:t>The</w:t>
      </w:r>
      <w:r w:rsidR="00AB29BB" w:rsidRPr="00E74C8C">
        <w:rPr>
          <w:rFonts w:asciiTheme="minorHAnsi" w:hAnsiTheme="minorHAnsi" w:cstheme="minorHAnsi"/>
          <w:color w:val="333333"/>
        </w:rPr>
        <w:t xml:space="preserve"> Strategic Risk Register is linked directly to the University Strategy.  For each objective ULT should consider the range of potential events that may have an effect on its achievement.  Each event will have an associated likelihood of occurrence and an impact if it occurs.  Similarly</w:t>
      </w:r>
      <w:r w:rsidR="00B430C4">
        <w:rPr>
          <w:rFonts w:asciiTheme="minorHAnsi" w:hAnsiTheme="minorHAnsi" w:cstheme="minorHAnsi"/>
          <w:color w:val="333333"/>
        </w:rPr>
        <w:t>,</w:t>
      </w:r>
      <w:r w:rsidR="00AB29BB" w:rsidRPr="00E74C8C">
        <w:rPr>
          <w:rFonts w:asciiTheme="minorHAnsi" w:hAnsiTheme="minorHAnsi" w:cstheme="minorHAnsi"/>
          <w:color w:val="333333"/>
        </w:rPr>
        <w:t xml:space="preserve"> for Operational Risks</w:t>
      </w:r>
      <w:r w:rsidR="00B430C4">
        <w:rPr>
          <w:rFonts w:asciiTheme="minorHAnsi" w:hAnsiTheme="minorHAnsi" w:cstheme="minorHAnsi"/>
          <w:color w:val="333333"/>
        </w:rPr>
        <w:t>, UO</w:t>
      </w:r>
      <w:r w:rsidR="00AB29BB" w:rsidRPr="00E74C8C">
        <w:rPr>
          <w:rFonts w:asciiTheme="minorHAnsi" w:hAnsiTheme="minorHAnsi" w:cstheme="minorHAnsi"/>
          <w:color w:val="333333"/>
        </w:rPr>
        <w:t xml:space="preserve">T should use their professional expertise to assess the risks to the University.  </w:t>
      </w:r>
      <w:r w:rsidRPr="00E74C8C">
        <w:rPr>
          <w:rFonts w:asciiTheme="minorHAnsi" w:hAnsiTheme="minorHAnsi" w:cstheme="minorHAnsi"/>
          <w:color w:val="333333"/>
        </w:rPr>
        <w:t xml:space="preserve">An accountable </w:t>
      </w:r>
      <w:r w:rsidR="000C3291" w:rsidRPr="00E74C8C">
        <w:rPr>
          <w:rFonts w:asciiTheme="minorHAnsi" w:hAnsiTheme="minorHAnsi" w:cstheme="minorHAnsi"/>
          <w:color w:val="333333"/>
        </w:rPr>
        <w:t>Risk O</w:t>
      </w:r>
      <w:r w:rsidRPr="00E74C8C">
        <w:rPr>
          <w:rFonts w:asciiTheme="minorHAnsi" w:hAnsiTheme="minorHAnsi" w:cstheme="minorHAnsi"/>
          <w:color w:val="333333"/>
        </w:rPr>
        <w:t xml:space="preserve">wner should be agreed and </w:t>
      </w:r>
      <w:r w:rsidR="000C3291" w:rsidRPr="00E74C8C">
        <w:rPr>
          <w:rFonts w:asciiTheme="minorHAnsi" w:hAnsiTheme="minorHAnsi" w:cstheme="minorHAnsi"/>
          <w:color w:val="333333"/>
        </w:rPr>
        <w:t>(</w:t>
      </w:r>
      <w:r w:rsidRPr="00E74C8C">
        <w:rPr>
          <w:rFonts w:asciiTheme="minorHAnsi" w:hAnsiTheme="minorHAnsi" w:cstheme="minorHAnsi"/>
          <w:color w:val="333333"/>
        </w:rPr>
        <w:t>leading</w:t>
      </w:r>
      <w:r w:rsidR="000C3291" w:rsidRPr="00E74C8C">
        <w:rPr>
          <w:rFonts w:asciiTheme="minorHAnsi" w:hAnsiTheme="minorHAnsi" w:cstheme="minorHAnsi"/>
          <w:color w:val="333333"/>
        </w:rPr>
        <w:t>)</w:t>
      </w:r>
      <w:r w:rsidRPr="00E74C8C">
        <w:rPr>
          <w:rFonts w:asciiTheme="minorHAnsi" w:hAnsiTheme="minorHAnsi" w:cstheme="minorHAnsi"/>
          <w:color w:val="333333"/>
        </w:rPr>
        <w:t xml:space="preserve"> measures identified to allow the team to assess if a risk is about to be realised.</w:t>
      </w:r>
    </w:p>
    <w:p w14:paraId="0FA1F852" w14:textId="77777777" w:rsidR="006419A9" w:rsidRPr="00E74C8C" w:rsidRDefault="006419A9" w:rsidP="006419A9">
      <w:pPr>
        <w:pStyle w:val="NormalWeb"/>
        <w:shd w:val="clear" w:color="auto" w:fill="FFFFFF"/>
        <w:spacing w:before="0" w:beforeAutospacing="0" w:after="0" w:afterAutospacing="0"/>
        <w:rPr>
          <w:rFonts w:asciiTheme="minorHAnsi" w:hAnsiTheme="minorHAnsi" w:cstheme="minorHAnsi"/>
          <w:color w:val="333333"/>
        </w:rPr>
      </w:pPr>
    </w:p>
    <w:p w14:paraId="1C74EF85" w14:textId="6D4D060B" w:rsidR="00433980" w:rsidRPr="00B430C4" w:rsidRDefault="00F72075" w:rsidP="00F72075">
      <w:pPr>
        <w:pStyle w:val="Heading4"/>
        <w:rPr>
          <w:sz w:val="24"/>
          <w:szCs w:val="24"/>
        </w:rPr>
      </w:pPr>
      <w:r w:rsidRPr="00B430C4">
        <w:rPr>
          <w:sz w:val="24"/>
          <w:szCs w:val="24"/>
        </w:rPr>
        <w:t>1.2</w:t>
      </w:r>
      <w:r w:rsidR="00433980" w:rsidRPr="00B430C4">
        <w:rPr>
          <w:sz w:val="24"/>
          <w:szCs w:val="24"/>
        </w:rPr>
        <w:t xml:space="preserve"> </w:t>
      </w:r>
      <w:r w:rsidR="00512A2C" w:rsidRPr="00B430C4">
        <w:rPr>
          <w:sz w:val="24"/>
          <w:szCs w:val="24"/>
        </w:rPr>
        <w:t>Assessing</w:t>
      </w:r>
      <w:r w:rsidR="00433980" w:rsidRPr="00B430C4">
        <w:rPr>
          <w:sz w:val="24"/>
          <w:szCs w:val="24"/>
        </w:rPr>
        <w:t xml:space="preserve"> each Risk</w:t>
      </w:r>
    </w:p>
    <w:p w14:paraId="16816E9C" w14:textId="318D9C7F" w:rsidR="00AB29BB" w:rsidRPr="00E74C8C" w:rsidRDefault="00433980" w:rsidP="00433980">
      <w:pPr>
        <w:pStyle w:val="NormalWeb"/>
        <w:numPr>
          <w:ilvl w:val="0"/>
          <w:numId w:val="10"/>
        </w:numPr>
        <w:shd w:val="clear" w:color="auto" w:fill="FFFFFF"/>
        <w:spacing w:before="0" w:beforeAutospacing="0" w:after="150" w:afterAutospacing="0"/>
        <w:rPr>
          <w:rFonts w:asciiTheme="minorHAnsi" w:hAnsiTheme="minorHAnsi" w:cstheme="minorHAnsi"/>
          <w:color w:val="333333"/>
        </w:rPr>
      </w:pPr>
      <w:r w:rsidRPr="00E74C8C">
        <w:rPr>
          <w:rFonts w:asciiTheme="minorHAnsi" w:hAnsiTheme="minorHAnsi" w:cstheme="minorHAnsi"/>
          <w:color w:val="333333"/>
        </w:rPr>
        <w:t>Complete the Risk D</w:t>
      </w:r>
      <w:r w:rsidR="00AB29BB" w:rsidRPr="00E74C8C">
        <w:rPr>
          <w:rFonts w:asciiTheme="minorHAnsi" w:hAnsiTheme="minorHAnsi" w:cstheme="minorHAnsi"/>
          <w:color w:val="333333"/>
        </w:rPr>
        <w:t>es</w:t>
      </w:r>
      <w:r w:rsidRPr="00E74C8C">
        <w:rPr>
          <w:rFonts w:asciiTheme="minorHAnsi" w:hAnsiTheme="minorHAnsi" w:cstheme="minorHAnsi"/>
          <w:color w:val="333333"/>
        </w:rPr>
        <w:t xml:space="preserve">criptor </w:t>
      </w:r>
      <w:r w:rsidR="00AB29BB" w:rsidRPr="00E74C8C">
        <w:rPr>
          <w:rFonts w:asciiTheme="minorHAnsi" w:hAnsiTheme="minorHAnsi" w:cstheme="minorHAnsi"/>
          <w:color w:val="333333"/>
        </w:rPr>
        <w:t>in the form of “</w:t>
      </w:r>
      <w:r w:rsidRPr="00E74C8C">
        <w:rPr>
          <w:rFonts w:asciiTheme="minorHAnsi" w:hAnsiTheme="minorHAnsi" w:cstheme="minorHAnsi"/>
          <w:color w:val="333333"/>
        </w:rPr>
        <w:t>Failure to… Caused by… Leading to”</w:t>
      </w:r>
      <w:r w:rsidR="00AB29BB" w:rsidRPr="00E74C8C">
        <w:rPr>
          <w:rFonts w:asciiTheme="minorHAnsi" w:hAnsiTheme="minorHAnsi" w:cstheme="minorHAnsi"/>
          <w:color w:val="333333"/>
        </w:rPr>
        <w:t xml:space="preserve"> </w:t>
      </w:r>
    </w:p>
    <w:p w14:paraId="1E3F69B5" w14:textId="3CC353E3" w:rsidR="00433980" w:rsidRPr="00E74C8C" w:rsidRDefault="00AB29BB" w:rsidP="00433980">
      <w:pPr>
        <w:pStyle w:val="NormalWeb"/>
        <w:numPr>
          <w:ilvl w:val="0"/>
          <w:numId w:val="10"/>
        </w:numPr>
        <w:shd w:val="clear" w:color="auto" w:fill="FFFFFF"/>
        <w:spacing w:before="0" w:beforeAutospacing="0" w:after="150" w:afterAutospacing="0"/>
        <w:rPr>
          <w:rFonts w:asciiTheme="minorHAnsi" w:hAnsiTheme="minorHAnsi" w:cstheme="minorHAnsi"/>
          <w:color w:val="333333"/>
        </w:rPr>
      </w:pPr>
      <w:r w:rsidRPr="00E74C8C">
        <w:rPr>
          <w:rFonts w:asciiTheme="minorHAnsi" w:hAnsiTheme="minorHAnsi" w:cstheme="minorHAnsi"/>
          <w:color w:val="333333"/>
        </w:rPr>
        <w:t xml:space="preserve">The Impact and Likelihood should </w:t>
      </w:r>
      <w:r w:rsidR="00433980" w:rsidRPr="00E74C8C">
        <w:rPr>
          <w:rFonts w:asciiTheme="minorHAnsi" w:hAnsiTheme="minorHAnsi" w:cstheme="minorHAnsi"/>
          <w:color w:val="333333"/>
        </w:rPr>
        <w:t xml:space="preserve">then </w:t>
      </w:r>
      <w:r w:rsidRPr="00E74C8C">
        <w:rPr>
          <w:rFonts w:asciiTheme="minorHAnsi" w:hAnsiTheme="minorHAnsi" w:cstheme="minorHAnsi"/>
          <w:color w:val="333333"/>
        </w:rPr>
        <w:t>be scored using the tables below – this provides a score for the “Initial Risk Rating”.</w:t>
      </w:r>
    </w:p>
    <w:p w14:paraId="2C75EE74" w14:textId="170B9017" w:rsidR="00433980" w:rsidRPr="00E74C8C" w:rsidRDefault="00433980" w:rsidP="00433980">
      <w:pPr>
        <w:pStyle w:val="NormalWeb"/>
        <w:numPr>
          <w:ilvl w:val="0"/>
          <w:numId w:val="10"/>
        </w:numPr>
        <w:shd w:val="clear" w:color="auto" w:fill="FFFFFF"/>
        <w:spacing w:before="0" w:beforeAutospacing="0" w:after="150" w:afterAutospacing="0"/>
        <w:rPr>
          <w:rFonts w:asciiTheme="minorHAnsi" w:hAnsiTheme="minorHAnsi" w:cstheme="minorHAnsi"/>
          <w:color w:val="333333"/>
        </w:rPr>
      </w:pPr>
      <w:r w:rsidRPr="00E74C8C">
        <w:rPr>
          <w:rFonts w:asciiTheme="minorHAnsi" w:hAnsiTheme="minorHAnsi" w:cstheme="minorHAnsi"/>
          <w:color w:val="333333"/>
        </w:rPr>
        <w:t>A “Risk Appetite” statement and score for each Risk should then be agreed – this summarises how much risk the University is prepared to accept in order to achieve the objective</w:t>
      </w:r>
      <w:r w:rsidR="0013520A" w:rsidRPr="00E74C8C">
        <w:rPr>
          <w:rFonts w:asciiTheme="minorHAnsi" w:hAnsiTheme="minorHAnsi" w:cstheme="minorHAnsi"/>
          <w:color w:val="333333"/>
        </w:rPr>
        <w:t xml:space="preserve"> (in each area which is the agreed capacity for tolerating the risk)</w:t>
      </w:r>
      <w:r w:rsidRPr="00E74C8C">
        <w:rPr>
          <w:rFonts w:asciiTheme="minorHAnsi" w:hAnsiTheme="minorHAnsi" w:cstheme="minorHAnsi"/>
          <w:color w:val="333333"/>
        </w:rPr>
        <w:t>.</w:t>
      </w:r>
    </w:p>
    <w:p w14:paraId="013FF5F3" w14:textId="4F72B798" w:rsidR="00433980" w:rsidRDefault="00433980" w:rsidP="006419A9">
      <w:pPr>
        <w:pStyle w:val="NormalWeb"/>
        <w:numPr>
          <w:ilvl w:val="0"/>
          <w:numId w:val="10"/>
        </w:numPr>
        <w:shd w:val="clear" w:color="auto" w:fill="FFFFFF"/>
        <w:spacing w:before="0" w:beforeAutospacing="0" w:after="0" w:afterAutospacing="0"/>
        <w:ind w:left="357" w:hanging="357"/>
        <w:rPr>
          <w:rFonts w:asciiTheme="minorHAnsi" w:hAnsiTheme="minorHAnsi" w:cstheme="minorHAnsi"/>
          <w:color w:val="333333"/>
        </w:rPr>
      </w:pPr>
      <w:r w:rsidRPr="00E74C8C">
        <w:rPr>
          <w:rFonts w:asciiTheme="minorHAnsi" w:hAnsiTheme="minorHAnsi" w:cstheme="minorHAnsi"/>
          <w:color w:val="333333"/>
        </w:rPr>
        <w:t xml:space="preserve">Compare the initial risk rating to the risk appetite score.  If the risk rating is higher </w:t>
      </w:r>
      <w:r w:rsidR="00B430C4">
        <w:rPr>
          <w:rFonts w:asciiTheme="minorHAnsi" w:hAnsiTheme="minorHAnsi" w:cstheme="minorHAnsi"/>
          <w:color w:val="333333"/>
        </w:rPr>
        <w:t xml:space="preserve">than the risk appetite, </w:t>
      </w:r>
      <w:r w:rsidR="00512A2C" w:rsidRPr="00E74C8C">
        <w:rPr>
          <w:rFonts w:asciiTheme="minorHAnsi" w:hAnsiTheme="minorHAnsi" w:cstheme="minorHAnsi"/>
          <w:color w:val="333333"/>
        </w:rPr>
        <w:t>then</w:t>
      </w:r>
      <w:r w:rsidRPr="00E74C8C">
        <w:rPr>
          <w:rFonts w:asciiTheme="minorHAnsi" w:hAnsiTheme="minorHAnsi" w:cstheme="minorHAnsi"/>
          <w:color w:val="333333"/>
        </w:rPr>
        <w:t xml:space="preserve"> action needs to be agreed to mitigate the likelihood and/or the impact.  Mitigations that are already in place should be considered </w:t>
      </w:r>
      <w:r w:rsidR="000C3291" w:rsidRPr="00E74C8C">
        <w:rPr>
          <w:rFonts w:asciiTheme="minorHAnsi" w:hAnsiTheme="minorHAnsi" w:cstheme="minorHAnsi"/>
          <w:color w:val="333333"/>
        </w:rPr>
        <w:t>and the residual</w:t>
      </w:r>
      <w:r w:rsidR="00512A2C" w:rsidRPr="00E74C8C">
        <w:rPr>
          <w:rFonts w:asciiTheme="minorHAnsi" w:hAnsiTheme="minorHAnsi" w:cstheme="minorHAnsi"/>
          <w:color w:val="333333"/>
        </w:rPr>
        <w:t xml:space="preserve"> risk rating calculated.  If the residual risk is still higher than the </w:t>
      </w:r>
      <w:r w:rsidR="000C3291" w:rsidRPr="00E74C8C">
        <w:rPr>
          <w:rFonts w:asciiTheme="minorHAnsi" w:hAnsiTheme="minorHAnsi" w:cstheme="minorHAnsi"/>
          <w:color w:val="333333"/>
        </w:rPr>
        <w:t>risk appetite further action is</w:t>
      </w:r>
      <w:r w:rsidR="00512A2C" w:rsidRPr="00E74C8C">
        <w:rPr>
          <w:rFonts w:asciiTheme="minorHAnsi" w:hAnsiTheme="minorHAnsi" w:cstheme="minorHAnsi"/>
          <w:color w:val="333333"/>
        </w:rPr>
        <w:t xml:space="preserve"> required.</w:t>
      </w:r>
    </w:p>
    <w:p w14:paraId="0ADFE4AC" w14:textId="77777777" w:rsidR="006419A9" w:rsidRPr="00E74C8C" w:rsidRDefault="006419A9" w:rsidP="006419A9">
      <w:pPr>
        <w:pStyle w:val="NormalWeb"/>
        <w:shd w:val="clear" w:color="auto" w:fill="FFFFFF"/>
        <w:spacing w:before="0" w:beforeAutospacing="0" w:after="0" w:afterAutospacing="0"/>
        <w:rPr>
          <w:rFonts w:asciiTheme="minorHAnsi" w:hAnsiTheme="minorHAnsi" w:cstheme="minorHAnsi"/>
          <w:color w:val="333333"/>
        </w:rPr>
      </w:pPr>
    </w:p>
    <w:p w14:paraId="38E22A08" w14:textId="48188EF2" w:rsidR="00512A2C" w:rsidRPr="00B430C4" w:rsidRDefault="00F72075" w:rsidP="00F72075">
      <w:pPr>
        <w:pStyle w:val="Heading4"/>
        <w:rPr>
          <w:sz w:val="24"/>
          <w:szCs w:val="24"/>
        </w:rPr>
      </w:pPr>
      <w:r w:rsidRPr="00B430C4">
        <w:rPr>
          <w:sz w:val="24"/>
          <w:szCs w:val="24"/>
        </w:rPr>
        <w:t xml:space="preserve">1.3 </w:t>
      </w:r>
      <w:r w:rsidR="00512A2C" w:rsidRPr="00B430C4">
        <w:rPr>
          <w:sz w:val="24"/>
          <w:szCs w:val="24"/>
        </w:rPr>
        <w:t xml:space="preserve">Mitigating Actions or Controls </w:t>
      </w:r>
      <w:r w:rsidR="0013520A" w:rsidRPr="00B430C4">
        <w:rPr>
          <w:sz w:val="24"/>
          <w:szCs w:val="24"/>
        </w:rPr>
        <w:t>(what are you doing to control the risk?)</w:t>
      </w:r>
    </w:p>
    <w:p w14:paraId="242C3668" w14:textId="77E8B78B" w:rsidR="00512A2C" w:rsidRPr="00E74C8C" w:rsidRDefault="00512A2C" w:rsidP="003834DB">
      <w:pPr>
        <w:pStyle w:val="NormalWeb"/>
        <w:numPr>
          <w:ilvl w:val="0"/>
          <w:numId w:val="11"/>
        </w:numPr>
        <w:shd w:val="clear" w:color="auto" w:fill="FFFFFF"/>
        <w:spacing w:before="0" w:beforeAutospacing="0" w:after="150" w:afterAutospacing="0"/>
        <w:rPr>
          <w:rFonts w:asciiTheme="minorHAnsi" w:hAnsiTheme="minorHAnsi" w:cstheme="minorHAnsi"/>
          <w:color w:val="333333"/>
        </w:rPr>
      </w:pPr>
      <w:r w:rsidRPr="00E74C8C">
        <w:rPr>
          <w:rFonts w:asciiTheme="minorHAnsi" w:hAnsiTheme="minorHAnsi" w:cstheme="minorHAnsi"/>
          <w:b/>
          <w:bCs/>
          <w:color w:val="333333"/>
        </w:rPr>
        <w:t>Treat </w:t>
      </w:r>
      <w:r w:rsidRPr="00E74C8C">
        <w:rPr>
          <w:rFonts w:asciiTheme="minorHAnsi" w:hAnsiTheme="minorHAnsi" w:cstheme="minorHAnsi"/>
          <w:color w:val="333333"/>
        </w:rPr>
        <w:t>– take action to reduce </w:t>
      </w:r>
      <w:r w:rsidRPr="00E74C8C">
        <w:rPr>
          <w:rFonts w:asciiTheme="minorHAnsi" w:hAnsiTheme="minorHAnsi" w:cstheme="minorHAnsi"/>
          <w:i/>
          <w:iCs/>
          <w:color w:val="333333"/>
        </w:rPr>
        <w:t>either </w:t>
      </w:r>
      <w:r w:rsidRPr="00E74C8C">
        <w:rPr>
          <w:rFonts w:asciiTheme="minorHAnsi" w:hAnsiTheme="minorHAnsi" w:cstheme="minorHAnsi"/>
          <w:color w:val="333333"/>
        </w:rPr>
        <w:t>the probability of the risk occurring </w:t>
      </w:r>
      <w:r w:rsidRPr="00E74C8C">
        <w:rPr>
          <w:rFonts w:asciiTheme="minorHAnsi" w:hAnsiTheme="minorHAnsi" w:cstheme="minorHAnsi"/>
          <w:i/>
          <w:iCs/>
          <w:color w:val="333333"/>
        </w:rPr>
        <w:t>or</w:t>
      </w:r>
      <w:r w:rsidRPr="00E74C8C">
        <w:rPr>
          <w:rFonts w:asciiTheme="minorHAnsi" w:hAnsiTheme="minorHAnsi" w:cstheme="minorHAnsi"/>
          <w:color w:val="333333"/>
        </w:rPr>
        <w:t> the severity</w:t>
      </w:r>
      <w:r w:rsidR="00B430C4">
        <w:rPr>
          <w:rFonts w:asciiTheme="minorHAnsi" w:hAnsiTheme="minorHAnsi" w:cstheme="minorHAnsi"/>
          <w:color w:val="333333"/>
        </w:rPr>
        <w:t xml:space="preserve"> of the impact were it to occur.</w:t>
      </w:r>
    </w:p>
    <w:p w14:paraId="5AE82D32" w14:textId="77777777" w:rsidR="00512A2C" w:rsidRPr="00E74C8C" w:rsidRDefault="00512A2C" w:rsidP="00512A2C">
      <w:pPr>
        <w:pStyle w:val="NormalWeb"/>
        <w:numPr>
          <w:ilvl w:val="0"/>
          <w:numId w:val="11"/>
        </w:numPr>
        <w:shd w:val="clear" w:color="auto" w:fill="FFFFFF"/>
        <w:spacing w:before="0" w:beforeAutospacing="0" w:after="150" w:afterAutospacing="0"/>
        <w:rPr>
          <w:rFonts w:asciiTheme="minorHAnsi" w:hAnsiTheme="minorHAnsi" w:cstheme="minorHAnsi"/>
          <w:color w:val="333333"/>
        </w:rPr>
      </w:pPr>
      <w:r w:rsidRPr="00E74C8C">
        <w:rPr>
          <w:rFonts w:asciiTheme="minorHAnsi" w:hAnsiTheme="minorHAnsi" w:cstheme="minorHAnsi"/>
          <w:b/>
          <w:bCs/>
          <w:color w:val="333333"/>
        </w:rPr>
        <w:t>Tolerate</w:t>
      </w:r>
      <w:r w:rsidRPr="00E74C8C">
        <w:rPr>
          <w:rFonts w:asciiTheme="minorHAnsi" w:hAnsiTheme="minorHAnsi" w:cstheme="minorHAnsi"/>
          <w:color w:val="333333"/>
        </w:rPr>
        <w:t> – accept the risk and do not attempt to reduce it. This response is appropriate when the risk score is below the risk appetite, or occasionally when the risk is above the appetite but the costs of treating it outweigh the potential benefits. </w:t>
      </w:r>
      <w:r w:rsidRPr="00E74C8C">
        <w:rPr>
          <w:rFonts w:asciiTheme="minorHAnsi" w:hAnsiTheme="minorHAnsi" w:cstheme="minorHAnsi"/>
          <w:b/>
          <w:bCs/>
          <w:color w:val="333333"/>
        </w:rPr>
        <w:t xml:space="preserve"> </w:t>
      </w:r>
    </w:p>
    <w:p w14:paraId="2C39AD9C" w14:textId="77777777" w:rsidR="00512A2C" w:rsidRPr="00E74C8C" w:rsidRDefault="00512A2C" w:rsidP="00BE0ACF">
      <w:pPr>
        <w:pStyle w:val="NormalWeb"/>
        <w:numPr>
          <w:ilvl w:val="0"/>
          <w:numId w:val="11"/>
        </w:numPr>
        <w:shd w:val="clear" w:color="auto" w:fill="FFFFFF"/>
        <w:spacing w:before="0" w:beforeAutospacing="0" w:after="150" w:afterAutospacing="0"/>
        <w:rPr>
          <w:rFonts w:asciiTheme="minorHAnsi" w:hAnsiTheme="minorHAnsi" w:cstheme="minorHAnsi"/>
          <w:color w:val="333333"/>
        </w:rPr>
      </w:pPr>
      <w:r w:rsidRPr="00E74C8C">
        <w:rPr>
          <w:rFonts w:asciiTheme="minorHAnsi" w:hAnsiTheme="minorHAnsi" w:cstheme="minorHAnsi"/>
          <w:b/>
          <w:bCs/>
          <w:color w:val="333333"/>
        </w:rPr>
        <w:lastRenderedPageBreak/>
        <w:t>Transfer</w:t>
      </w:r>
      <w:r w:rsidRPr="00E74C8C">
        <w:rPr>
          <w:rFonts w:asciiTheme="minorHAnsi" w:hAnsiTheme="minorHAnsi" w:cstheme="minorHAnsi"/>
          <w:color w:val="333333"/>
        </w:rPr>
        <w:t xml:space="preserve"> – transfer the risk to a third party, e.g. through insurance. </w:t>
      </w:r>
    </w:p>
    <w:p w14:paraId="1DE7C30C" w14:textId="35EE3039" w:rsidR="00512A2C" w:rsidRDefault="00512A2C" w:rsidP="006419A9">
      <w:pPr>
        <w:pStyle w:val="NormalWeb"/>
        <w:numPr>
          <w:ilvl w:val="0"/>
          <w:numId w:val="11"/>
        </w:numPr>
        <w:shd w:val="clear" w:color="auto" w:fill="FFFFFF"/>
        <w:spacing w:before="0" w:beforeAutospacing="0" w:after="0" w:afterAutospacing="0"/>
        <w:rPr>
          <w:rFonts w:asciiTheme="minorHAnsi" w:hAnsiTheme="minorHAnsi" w:cstheme="minorHAnsi"/>
          <w:color w:val="333333"/>
        </w:rPr>
      </w:pPr>
      <w:r w:rsidRPr="00E74C8C">
        <w:rPr>
          <w:rFonts w:asciiTheme="minorHAnsi" w:hAnsiTheme="minorHAnsi" w:cstheme="minorHAnsi"/>
          <w:b/>
          <w:bCs/>
          <w:color w:val="333333"/>
        </w:rPr>
        <w:t>Terminate</w:t>
      </w:r>
      <w:r w:rsidRPr="00E74C8C">
        <w:rPr>
          <w:rFonts w:asciiTheme="minorHAnsi" w:hAnsiTheme="minorHAnsi" w:cstheme="minorHAnsi"/>
          <w:color w:val="333333"/>
        </w:rPr>
        <w:t> – eliminate the risk, e.g. by changing the objective or the approach being taken to achieve it, or by abandoning the objective entirely.</w:t>
      </w:r>
    </w:p>
    <w:p w14:paraId="0DBCC1AB" w14:textId="77777777" w:rsidR="006419A9" w:rsidRPr="00E74C8C" w:rsidRDefault="006419A9" w:rsidP="006419A9">
      <w:pPr>
        <w:pStyle w:val="NormalWeb"/>
        <w:shd w:val="clear" w:color="auto" w:fill="FFFFFF"/>
        <w:spacing w:before="0" w:beforeAutospacing="0" w:after="0" w:afterAutospacing="0"/>
        <w:rPr>
          <w:rFonts w:asciiTheme="minorHAnsi" w:hAnsiTheme="minorHAnsi" w:cstheme="minorHAnsi"/>
          <w:color w:val="333333"/>
        </w:rPr>
      </w:pPr>
    </w:p>
    <w:p w14:paraId="6A32CA48" w14:textId="1705A745" w:rsidR="00F40CB0" w:rsidRDefault="00512A2C" w:rsidP="00F72075">
      <w:pPr>
        <w:pStyle w:val="Heading3"/>
        <w:numPr>
          <w:ilvl w:val="0"/>
          <w:numId w:val="14"/>
        </w:numPr>
        <w:rPr>
          <w:b/>
        </w:rPr>
      </w:pPr>
      <w:r w:rsidRPr="00F72075">
        <w:rPr>
          <w:b/>
        </w:rPr>
        <w:t>Monitoring and Review</w:t>
      </w:r>
      <w:r w:rsidR="0013520A" w:rsidRPr="00F72075">
        <w:rPr>
          <w:b/>
        </w:rPr>
        <w:t xml:space="preserve"> (how do you know that the mitigating action and controls are working?)</w:t>
      </w:r>
    </w:p>
    <w:p w14:paraId="4EEEB04C" w14:textId="77777777" w:rsidR="006419A9" w:rsidRPr="006419A9" w:rsidRDefault="006419A9" w:rsidP="006419A9">
      <w:pPr>
        <w:spacing w:after="0" w:line="240" w:lineRule="auto"/>
      </w:pPr>
    </w:p>
    <w:p w14:paraId="501EFE65" w14:textId="4E9801D8" w:rsidR="00512A2C" w:rsidRPr="00B430C4" w:rsidRDefault="00F72075" w:rsidP="00F72075">
      <w:pPr>
        <w:pStyle w:val="Heading4"/>
        <w:rPr>
          <w:rFonts w:asciiTheme="minorHAnsi" w:hAnsiTheme="minorHAnsi"/>
          <w:sz w:val="24"/>
          <w:szCs w:val="24"/>
        </w:rPr>
      </w:pPr>
      <w:r w:rsidRPr="00B430C4">
        <w:rPr>
          <w:sz w:val="24"/>
          <w:szCs w:val="24"/>
        </w:rPr>
        <w:t>2.1 Strategic Risk Register</w:t>
      </w:r>
    </w:p>
    <w:p w14:paraId="1A7EA82C" w14:textId="5860DA57" w:rsidR="00AF0CE7" w:rsidRDefault="00AF0CE7" w:rsidP="006419A9">
      <w:pPr>
        <w:widowControl w:val="0"/>
        <w:spacing w:after="0" w:line="240" w:lineRule="auto"/>
        <w:rPr>
          <w:rFonts w:eastAsia="Calibri" w:cstheme="minorHAnsi"/>
          <w:sz w:val="24"/>
          <w:szCs w:val="24"/>
        </w:rPr>
      </w:pPr>
      <w:r w:rsidRPr="00E74C8C">
        <w:rPr>
          <w:rFonts w:cstheme="minorHAnsi"/>
          <w:sz w:val="24"/>
          <w:szCs w:val="24"/>
        </w:rPr>
        <w:t>Normally each risk should be reviewed on an annual cycle as the data used to measure progress becomes available.  For example</w:t>
      </w:r>
      <w:r w:rsidR="006419A9">
        <w:rPr>
          <w:rFonts w:cstheme="minorHAnsi"/>
          <w:sz w:val="24"/>
          <w:szCs w:val="24"/>
        </w:rPr>
        <w:t>,</w:t>
      </w:r>
      <w:r w:rsidRPr="00E74C8C">
        <w:rPr>
          <w:rFonts w:cstheme="minorHAnsi"/>
          <w:sz w:val="24"/>
          <w:szCs w:val="24"/>
        </w:rPr>
        <w:t xml:space="preserve"> Strategic Risk 4.a </w:t>
      </w:r>
      <w:r w:rsidRPr="00E74C8C">
        <w:rPr>
          <w:rFonts w:eastAsia="Calibri" w:cstheme="minorHAnsi"/>
          <w:sz w:val="24"/>
          <w:szCs w:val="24"/>
        </w:rPr>
        <w:t xml:space="preserve">(Create and sustain a vibrant and inclusive learning community) should be reviewed in August when the NSS scores are published.  This approach is based on the view that an in depth review of each risk at least annually is more beneficial than </w:t>
      </w:r>
      <w:r w:rsidR="000C3291" w:rsidRPr="00E74C8C">
        <w:rPr>
          <w:rFonts w:eastAsia="Calibri" w:cstheme="minorHAnsi"/>
          <w:sz w:val="24"/>
          <w:szCs w:val="24"/>
        </w:rPr>
        <w:t>a paper exercise covering all the risks on a quarterly basis.</w:t>
      </w:r>
    </w:p>
    <w:p w14:paraId="1F9BA3E7" w14:textId="77777777" w:rsidR="006419A9" w:rsidRPr="00E74C8C" w:rsidRDefault="006419A9" w:rsidP="006419A9">
      <w:pPr>
        <w:widowControl w:val="0"/>
        <w:spacing w:after="0" w:line="240" w:lineRule="auto"/>
        <w:rPr>
          <w:rFonts w:eastAsia="Calibri" w:cstheme="minorHAnsi"/>
          <w:sz w:val="24"/>
          <w:szCs w:val="24"/>
        </w:rPr>
      </w:pPr>
    </w:p>
    <w:p w14:paraId="6CED970F" w14:textId="01690108" w:rsidR="000C3291" w:rsidRPr="00B430C4" w:rsidRDefault="000C3291" w:rsidP="00F72075">
      <w:pPr>
        <w:pStyle w:val="Heading4"/>
        <w:numPr>
          <w:ilvl w:val="1"/>
          <w:numId w:val="14"/>
        </w:numPr>
        <w:rPr>
          <w:rFonts w:eastAsia="Calibri"/>
          <w:sz w:val="24"/>
          <w:szCs w:val="24"/>
        </w:rPr>
      </w:pPr>
      <w:r w:rsidRPr="00B430C4">
        <w:rPr>
          <w:rFonts w:eastAsia="Calibri"/>
          <w:sz w:val="24"/>
          <w:szCs w:val="24"/>
        </w:rPr>
        <w:t>Operational Risk Register</w:t>
      </w:r>
    </w:p>
    <w:p w14:paraId="501244DA" w14:textId="23495CD1" w:rsidR="00512A2C" w:rsidRDefault="006419A9" w:rsidP="006419A9">
      <w:pPr>
        <w:widowControl w:val="0"/>
        <w:spacing w:after="0" w:line="240" w:lineRule="auto"/>
        <w:rPr>
          <w:rFonts w:eastAsia="Calibri" w:cstheme="minorHAnsi"/>
          <w:sz w:val="24"/>
          <w:szCs w:val="24"/>
        </w:rPr>
      </w:pPr>
      <w:r>
        <w:rPr>
          <w:rFonts w:eastAsia="Calibri" w:cstheme="minorHAnsi"/>
          <w:sz w:val="24"/>
          <w:szCs w:val="24"/>
        </w:rPr>
        <w:t>UO</w:t>
      </w:r>
      <w:r w:rsidR="000C3291" w:rsidRPr="00E74C8C">
        <w:rPr>
          <w:rFonts w:eastAsia="Calibri" w:cstheme="minorHAnsi"/>
          <w:sz w:val="24"/>
          <w:szCs w:val="24"/>
        </w:rPr>
        <w:t>T should review the operational risk register on a quarterly basis and any risks where the residual risk is higher than the risk appetite should be escalated to the Strategic Risk Register.  As for the Strategic Risk Register U</w:t>
      </w:r>
      <w:r>
        <w:rPr>
          <w:rFonts w:eastAsia="Calibri" w:cstheme="minorHAnsi"/>
          <w:sz w:val="24"/>
          <w:szCs w:val="24"/>
        </w:rPr>
        <w:t>O</w:t>
      </w:r>
      <w:r w:rsidR="000C3291" w:rsidRPr="00E74C8C">
        <w:rPr>
          <w:rFonts w:eastAsia="Calibri" w:cstheme="minorHAnsi"/>
          <w:sz w:val="24"/>
          <w:szCs w:val="24"/>
        </w:rPr>
        <w:t>T should consider a deep dive review of each risk on periodic basis.</w:t>
      </w:r>
    </w:p>
    <w:p w14:paraId="5A06F7E4" w14:textId="77777777" w:rsidR="006419A9" w:rsidRPr="00E74C8C" w:rsidRDefault="006419A9" w:rsidP="006419A9">
      <w:pPr>
        <w:widowControl w:val="0"/>
        <w:spacing w:after="0" w:line="240" w:lineRule="auto"/>
        <w:rPr>
          <w:rFonts w:eastAsia="Calibri" w:cstheme="minorHAnsi"/>
          <w:sz w:val="24"/>
          <w:szCs w:val="24"/>
        </w:rPr>
      </w:pPr>
    </w:p>
    <w:p w14:paraId="5A8191BF" w14:textId="5FD9FE99" w:rsidR="00181B56" w:rsidRPr="006419A9" w:rsidRDefault="00181B56" w:rsidP="006419A9">
      <w:pPr>
        <w:pStyle w:val="Heading3"/>
        <w:numPr>
          <w:ilvl w:val="0"/>
          <w:numId w:val="16"/>
        </w:numPr>
        <w:rPr>
          <w:b/>
        </w:rPr>
      </w:pPr>
      <w:r w:rsidRPr="006419A9">
        <w:rPr>
          <w:b/>
        </w:rPr>
        <w:t>Impact and Likelihood Measures</w:t>
      </w:r>
    </w:p>
    <w:p w14:paraId="7491DB28" w14:textId="77777777" w:rsidR="007E5837" w:rsidRDefault="007E5837" w:rsidP="007E5837">
      <w:pPr>
        <w:spacing w:after="0" w:line="240" w:lineRule="auto"/>
        <w:rPr>
          <w:rFonts w:cstheme="minorHAnsi"/>
          <w:b/>
          <w:sz w:val="24"/>
          <w:szCs w:val="24"/>
        </w:rPr>
      </w:pPr>
    </w:p>
    <w:p w14:paraId="469045E7" w14:textId="3A83FD1B" w:rsidR="00181B56" w:rsidRPr="00E74C8C" w:rsidRDefault="00181B56" w:rsidP="00181B56">
      <w:pPr>
        <w:rPr>
          <w:rFonts w:cstheme="minorHAnsi"/>
          <w:b/>
          <w:sz w:val="24"/>
          <w:szCs w:val="24"/>
        </w:rPr>
      </w:pPr>
      <w:r w:rsidRPr="00E74C8C">
        <w:rPr>
          <w:rFonts w:cstheme="minorHAnsi"/>
          <w:b/>
          <w:sz w:val="24"/>
          <w:szCs w:val="24"/>
        </w:rPr>
        <w:t xml:space="preserve">Impact </w:t>
      </w:r>
    </w:p>
    <w:tbl>
      <w:tblPr>
        <w:tblStyle w:val="TableGrid"/>
        <w:tblW w:w="0" w:type="auto"/>
        <w:tblLook w:val="04A0" w:firstRow="1" w:lastRow="0" w:firstColumn="1" w:lastColumn="0" w:noHBand="0" w:noVBand="1"/>
        <w:tblCaption w:val="Impact scores and measure"/>
        <w:tblDescription w:val="Table showing type of impact and associated scores and measures"/>
      </w:tblPr>
      <w:tblGrid>
        <w:gridCol w:w="3005"/>
        <w:gridCol w:w="3005"/>
        <w:gridCol w:w="3006"/>
      </w:tblGrid>
      <w:tr w:rsidR="00C91F28" w:rsidRPr="00C91F28" w14:paraId="5261734F" w14:textId="77777777" w:rsidTr="00C91F28">
        <w:trPr>
          <w:tblHeader/>
        </w:trPr>
        <w:tc>
          <w:tcPr>
            <w:tcW w:w="3005" w:type="dxa"/>
          </w:tcPr>
          <w:p w14:paraId="3E800BAA" w14:textId="2885715C" w:rsidR="00C91F28" w:rsidRPr="00C91F28" w:rsidRDefault="00C91F28" w:rsidP="005D3C79">
            <w:pPr>
              <w:rPr>
                <w:rFonts w:cstheme="minorHAnsi"/>
                <w:b/>
                <w:sz w:val="24"/>
                <w:szCs w:val="24"/>
              </w:rPr>
            </w:pPr>
            <w:r w:rsidRPr="00C91F28">
              <w:rPr>
                <w:rFonts w:cstheme="minorHAnsi"/>
                <w:b/>
                <w:sz w:val="24"/>
                <w:szCs w:val="24"/>
              </w:rPr>
              <w:t>Impact</w:t>
            </w:r>
          </w:p>
        </w:tc>
        <w:tc>
          <w:tcPr>
            <w:tcW w:w="3005" w:type="dxa"/>
          </w:tcPr>
          <w:p w14:paraId="514C481B" w14:textId="51CF1DF0" w:rsidR="00C91F28" w:rsidRPr="00C91F28" w:rsidRDefault="00C91F28" w:rsidP="005D3C79">
            <w:pPr>
              <w:rPr>
                <w:rFonts w:cstheme="minorHAnsi"/>
                <w:b/>
                <w:sz w:val="24"/>
                <w:szCs w:val="24"/>
              </w:rPr>
            </w:pPr>
            <w:r w:rsidRPr="00C91F28">
              <w:rPr>
                <w:rFonts w:cstheme="minorHAnsi"/>
                <w:b/>
                <w:sz w:val="24"/>
                <w:szCs w:val="24"/>
              </w:rPr>
              <w:t>Score</w:t>
            </w:r>
          </w:p>
        </w:tc>
        <w:tc>
          <w:tcPr>
            <w:tcW w:w="3006" w:type="dxa"/>
          </w:tcPr>
          <w:p w14:paraId="76771B5B" w14:textId="74545626" w:rsidR="00C91F28" w:rsidRPr="00C91F28" w:rsidRDefault="00C91F28" w:rsidP="005D3C79">
            <w:pPr>
              <w:rPr>
                <w:rFonts w:cstheme="minorHAnsi"/>
                <w:b/>
                <w:sz w:val="24"/>
                <w:szCs w:val="24"/>
              </w:rPr>
            </w:pPr>
            <w:r w:rsidRPr="00C91F28">
              <w:rPr>
                <w:rFonts w:cstheme="minorHAnsi"/>
                <w:b/>
                <w:sz w:val="24"/>
                <w:szCs w:val="24"/>
              </w:rPr>
              <w:t>Measure</w:t>
            </w:r>
          </w:p>
        </w:tc>
      </w:tr>
      <w:tr w:rsidR="00181B56" w:rsidRPr="00E74C8C" w14:paraId="38C8B9EF" w14:textId="77777777" w:rsidTr="005D3C79">
        <w:tc>
          <w:tcPr>
            <w:tcW w:w="3005" w:type="dxa"/>
          </w:tcPr>
          <w:p w14:paraId="27D6957F" w14:textId="77777777" w:rsidR="00181B56" w:rsidRPr="00E74C8C" w:rsidRDefault="00181B56" w:rsidP="005D3C79">
            <w:pPr>
              <w:rPr>
                <w:rFonts w:cstheme="minorHAnsi"/>
                <w:sz w:val="24"/>
                <w:szCs w:val="24"/>
              </w:rPr>
            </w:pPr>
            <w:r w:rsidRPr="00E74C8C">
              <w:rPr>
                <w:rFonts w:cstheme="minorHAnsi"/>
                <w:sz w:val="24"/>
                <w:szCs w:val="24"/>
              </w:rPr>
              <w:t>Extreme</w:t>
            </w:r>
          </w:p>
        </w:tc>
        <w:tc>
          <w:tcPr>
            <w:tcW w:w="3005" w:type="dxa"/>
          </w:tcPr>
          <w:p w14:paraId="6E31F629" w14:textId="77777777" w:rsidR="00181B56" w:rsidRPr="00E74C8C" w:rsidRDefault="00181B56" w:rsidP="005D3C79">
            <w:pPr>
              <w:rPr>
                <w:rFonts w:cstheme="minorHAnsi"/>
                <w:sz w:val="24"/>
                <w:szCs w:val="24"/>
              </w:rPr>
            </w:pPr>
            <w:r w:rsidRPr="00E74C8C">
              <w:rPr>
                <w:rFonts w:cstheme="minorHAnsi"/>
                <w:sz w:val="24"/>
                <w:szCs w:val="24"/>
              </w:rPr>
              <w:t>5</w:t>
            </w:r>
          </w:p>
        </w:tc>
        <w:tc>
          <w:tcPr>
            <w:tcW w:w="3006" w:type="dxa"/>
          </w:tcPr>
          <w:p w14:paraId="0DBD789C" w14:textId="77777777" w:rsidR="00181B56" w:rsidRPr="00E74C8C" w:rsidRDefault="00181B56" w:rsidP="005D3C79">
            <w:pPr>
              <w:rPr>
                <w:rFonts w:cstheme="minorHAnsi"/>
                <w:sz w:val="24"/>
                <w:szCs w:val="24"/>
              </w:rPr>
            </w:pPr>
            <w:r w:rsidRPr="00E74C8C">
              <w:rPr>
                <w:rFonts w:cstheme="minorHAnsi"/>
                <w:sz w:val="24"/>
                <w:szCs w:val="24"/>
              </w:rPr>
              <w:t>&gt;£2.5m (10% turnover)</w:t>
            </w:r>
          </w:p>
        </w:tc>
      </w:tr>
      <w:tr w:rsidR="00181B56" w:rsidRPr="00E74C8C" w14:paraId="24C6EF9E" w14:textId="77777777" w:rsidTr="005D3C79">
        <w:tc>
          <w:tcPr>
            <w:tcW w:w="3005" w:type="dxa"/>
          </w:tcPr>
          <w:p w14:paraId="0791E7AF" w14:textId="77777777" w:rsidR="00181B56" w:rsidRPr="00E74C8C" w:rsidRDefault="00181B56" w:rsidP="005D3C79">
            <w:pPr>
              <w:rPr>
                <w:rFonts w:cstheme="minorHAnsi"/>
                <w:sz w:val="24"/>
                <w:szCs w:val="24"/>
              </w:rPr>
            </w:pPr>
            <w:r w:rsidRPr="00E74C8C">
              <w:rPr>
                <w:rFonts w:cstheme="minorHAnsi"/>
                <w:sz w:val="24"/>
                <w:szCs w:val="24"/>
              </w:rPr>
              <w:t>Major</w:t>
            </w:r>
          </w:p>
        </w:tc>
        <w:tc>
          <w:tcPr>
            <w:tcW w:w="3005" w:type="dxa"/>
          </w:tcPr>
          <w:p w14:paraId="0371E099" w14:textId="77777777" w:rsidR="00181B56" w:rsidRPr="00E74C8C" w:rsidRDefault="00181B56" w:rsidP="005D3C79">
            <w:pPr>
              <w:rPr>
                <w:rFonts w:cstheme="minorHAnsi"/>
                <w:sz w:val="24"/>
                <w:szCs w:val="24"/>
              </w:rPr>
            </w:pPr>
            <w:r w:rsidRPr="00E74C8C">
              <w:rPr>
                <w:rFonts w:cstheme="minorHAnsi"/>
                <w:sz w:val="24"/>
                <w:szCs w:val="24"/>
              </w:rPr>
              <w:t>4</w:t>
            </w:r>
          </w:p>
        </w:tc>
        <w:tc>
          <w:tcPr>
            <w:tcW w:w="3006" w:type="dxa"/>
          </w:tcPr>
          <w:p w14:paraId="42C1EDA7" w14:textId="77777777" w:rsidR="00181B56" w:rsidRPr="00E74C8C" w:rsidRDefault="00181B56" w:rsidP="005D3C79">
            <w:pPr>
              <w:rPr>
                <w:rFonts w:cstheme="minorHAnsi"/>
                <w:sz w:val="24"/>
                <w:szCs w:val="24"/>
              </w:rPr>
            </w:pPr>
            <w:r w:rsidRPr="00E74C8C">
              <w:rPr>
                <w:rFonts w:cstheme="minorHAnsi"/>
                <w:sz w:val="24"/>
                <w:szCs w:val="24"/>
              </w:rPr>
              <w:t>£1.5m-£2.5m</w:t>
            </w:r>
          </w:p>
        </w:tc>
      </w:tr>
      <w:tr w:rsidR="00181B56" w:rsidRPr="00E74C8C" w14:paraId="6B7D2311" w14:textId="77777777" w:rsidTr="005D3C79">
        <w:tc>
          <w:tcPr>
            <w:tcW w:w="3005" w:type="dxa"/>
          </w:tcPr>
          <w:p w14:paraId="7EE352F7" w14:textId="77777777" w:rsidR="00181B56" w:rsidRPr="00E74C8C" w:rsidRDefault="00181B56" w:rsidP="005D3C79">
            <w:pPr>
              <w:rPr>
                <w:rFonts w:cstheme="minorHAnsi"/>
                <w:sz w:val="24"/>
                <w:szCs w:val="24"/>
              </w:rPr>
            </w:pPr>
            <w:r w:rsidRPr="00E74C8C">
              <w:rPr>
                <w:rFonts w:cstheme="minorHAnsi"/>
                <w:sz w:val="24"/>
                <w:szCs w:val="24"/>
              </w:rPr>
              <w:t>Moderate</w:t>
            </w:r>
          </w:p>
        </w:tc>
        <w:tc>
          <w:tcPr>
            <w:tcW w:w="3005" w:type="dxa"/>
          </w:tcPr>
          <w:p w14:paraId="71F2D460" w14:textId="77777777" w:rsidR="00181B56" w:rsidRPr="00E74C8C" w:rsidRDefault="00181B56" w:rsidP="005D3C79">
            <w:pPr>
              <w:rPr>
                <w:rFonts w:cstheme="minorHAnsi"/>
                <w:sz w:val="24"/>
                <w:szCs w:val="24"/>
              </w:rPr>
            </w:pPr>
            <w:r w:rsidRPr="00E74C8C">
              <w:rPr>
                <w:rFonts w:cstheme="minorHAnsi"/>
                <w:sz w:val="24"/>
                <w:szCs w:val="24"/>
              </w:rPr>
              <w:t>3</w:t>
            </w:r>
          </w:p>
        </w:tc>
        <w:tc>
          <w:tcPr>
            <w:tcW w:w="3006" w:type="dxa"/>
          </w:tcPr>
          <w:p w14:paraId="0BCA5074" w14:textId="77777777" w:rsidR="00181B56" w:rsidRPr="00E74C8C" w:rsidRDefault="00181B56" w:rsidP="005D3C79">
            <w:pPr>
              <w:rPr>
                <w:rFonts w:cstheme="minorHAnsi"/>
                <w:sz w:val="24"/>
                <w:szCs w:val="24"/>
              </w:rPr>
            </w:pPr>
            <w:r w:rsidRPr="00E74C8C">
              <w:rPr>
                <w:rFonts w:cstheme="minorHAnsi"/>
                <w:sz w:val="24"/>
                <w:szCs w:val="24"/>
              </w:rPr>
              <w:t>£0.5m-£1.5m</w:t>
            </w:r>
          </w:p>
        </w:tc>
      </w:tr>
      <w:tr w:rsidR="00181B56" w:rsidRPr="00E74C8C" w14:paraId="2D05FC25" w14:textId="77777777" w:rsidTr="005D3C79">
        <w:tc>
          <w:tcPr>
            <w:tcW w:w="3005" w:type="dxa"/>
          </w:tcPr>
          <w:p w14:paraId="3AB73478" w14:textId="77777777" w:rsidR="00181B56" w:rsidRPr="00E74C8C" w:rsidRDefault="00181B56" w:rsidP="005D3C79">
            <w:pPr>
              <w:rPr>
                <w:rFonts w:cstheme="minorHAnsi"/>
                <w:sz w:val="24"/>
                <w:szCs w:val="24"/>
              </w:rPr>
            </w:pPr>
            <w:r w:rsidRPr="00E74C8C">
              <w:rPr>
                <w:rFonts w:cstheme="minorHAnsi"/>
                <w:sz w:val="24"/>
                <w:szCs w:val="24"/>
              </w:rPr>
              <w:t>Minor</w:t>
            </w:r>
          </w:p>
        </w:tc>
        <w:tc>
          <w:tcPr>
            <w:tcW w:w="3005" w:type="dxa"/>
          </w:tcPr>
          <w:p w14:paraId="2164ABA6" w14:textId="77777777" w:rsidR="00181B56" w:rsidRPr="00E74C8C" w:rsidRDefault="00181B56" w:rsidP="005D3C79">
            <w:pPr>
              <w:rPr>
                <w:rFonts w:cstheme="minorHAnsi"/>
                <w:sz w:val="24"/>
                <w:szCs w:val="24"/>
              </w:rPr>
            </w:pPr>
            <w:r w:rsidRPr="00E74C8C">
              <w:rPr>
                <w:rFonts w:cstheme="minorHAnsi"/>
                <w:sz w:val="24"/>
                <w:szCs w:val="24"/>
              </w:rPr>
              <w:t>2</w:t>
            </w:r>
          </w:p>
        </w:tc>
        <w:tc>
          <w:tcPr>
            <w:tcW w:w="3006" w:type="dxa"/>
          </w:tcPr>
          <w:p w14:paraId="2E19C0CB" w14:textId="77777777" w:rsidR="00181B56" w:rsidRPr="00E74C8C" w:rsidRDefault="00181B56" w:rsidP="005D3C79">
            <w:pPr>
              <w:rPr>
                <w:rFonts w:cstheme="minorHAnsi"/>
                <w:sz w:val="24"/>
                <w:szCs w:val="24"/>
              </w:rPr>
            </w:pPr>
            <w:r w:rsidRPr="00E74C8C">
              <w:rPr>
                <w:rFonts w:cstheme="minorHAnsi"/>
                <w:sz w:val="24"/>
                <w:szCs w:val="24"/>
              </w:rPr>
              <w:t>£0.25-£0.5m</w:t>
            </w:r>
          </w:p>
        </w:tc>
      </w:tr>
      <w:tr w:rsidR="00181B56" w:rsidRPr="00E74C8C" w14:paraId="191437D1" w14:textId="77777777" w:rsidTr="005D3C79">
        <w:tc>
          <w:tcPr>
            <w:tcW w:w="3005" w:type="dxa"/>
          </w:tcPr>
          <w:p w14:paraId="59A6ED75" w14:textId="77777777" w:rsidR="00181B56" w:rsidRPr="00E74C8C" w:rsidRDefault="00181B56" w:rsidP="005D3C79">
            <w:pPr>
              <w:rPr>
                <w:rFonts w:cstheme="minorHAnsi"/>
                <w:sz w:val="24"/>
                <w:szCs w:val="24"/>
              </w:rPr>
            </w:pPr>
            <w:r w:rsidRPr="00E74C8C">
              <w:rPr>
                <w:rFonts w:cstheme="minorHAnsi"/>
                <w:sz w:val="24"/>
                <w:szCs w:val="24"/>
              </w:rPr>
              <w:t>Negligible</w:t>
            </w:r>
          </w:p>
        </w:tc>
        <w:tc>
          <w:tcPr>
            <w:tcW w:w="3005" w:type="dxa"/>
          </w:tcPr>
          <w:p w14:paraId="73F08F6C" w14:textId="77777777" w:rsidR="00181B56" w:rsidRPr="00E74C8C" w:rsidRDefault="00181B56" w:rsidP="005D3C79">
            <w:pPr>
              <w:rPr>
                <w:rFonts w:cstheme="minorHAnsi"/>
                <w:sz w:val="24"/>
                <w:szCs w:val="24"/>
              </w:rPr>
            </w:pPr>
            <w:r w:rsidRPr="00E74C8C">
              <w:rPr>
                <w:rFonts w:cstheme="minorHAnsi"/>
                <w:sz w:val="24"/>
                <w:szCs w:val="24"/>
              </w:rPr>
              <w:t>1</w:t>
            </w:r>
          </w:p>
        </w:tc>
        <w:tc>
          <w:tcPr>
            <w:tcW w:w="3006" w:type="dxa"/>
          </w:tcPr>
          <w:p w14:paraId="6EBB0DFB" w14:textId="77777777" w:rsidR="00181B56" w:rsidRPr="00E74C8C" w:rsidRDefault="00181B56" w:rsidP="005D3C79">
            <w:pPr>
              <w:rPr>
                <w:rFonts w:cstheme="minorHAnsi"/>
                <w:sz w:val="24"/>
                <w:szCs w:val="24"/>
              </w:rPr>
            </w:pPr>
            <w:r w:rsidRPr="00E74C8C">
              <w:rPr>
                <w:rFonts w:cstheme="minorHAnsi"/>
                <w:sz w:val="24"/>
                <w:szCs w:val="24"/>
              </w:rPr>
              <w:t>£0-£0.25m</w:t>
            </w:r>
          </w:p>
        </w:tc>
      </w:tr>
    </w:tbl>
    <w:p w14:paraId="37AE1A7A" w14:textId="77777777" w:rsidR="00181B56" w:rsidRPr="00E74C8C" w:rsidRDefault="00181B56" w:rsidP="007E5837">
      <w:pPr>
        <w:spacing w:after="0" w:line="240" w:lineRule="auto"/>
        <w:rPr>
          <w:rFonts w:cstheme="minorHAnsi"/>
          <w:sz w:val="24"/>
          <w:szCs w:val="24"/>
        </w:rPr>
      </w:pPr>
      <w:r w:rsidRPr="00E74C8C">
        <w:rPr>
          <w:rFonts w:cstheme="minorHAnsi"/>
          <w:sz w:val="24"/>
          <w:szCs w:val="24"/>
        </w:rPr>
        <w:t>NB Financial measure is proxy for other forms of impact</w:t>
      </w:r>
    </w:p>
    <w:p w14:paraId="2D3A9416" w14:textId="35B53C32" w:rsidR="00181B56" w:rsidRDefault="00181B56" w:rsidP="007E5837">
      <w:pPr>
        <w:spacing w:after="0" w:line="240" w:lineRule="auto"/>
        <w:rPr>
          <w:rFonts w:cstheme="minorHAnsi"/>
          <w:b/>
          <w:sz w:val="24"/>
          <w:szCs w:val="24"/>
        </w:rPr>
      </w:pPr>
    </w:p>
    <w:p w14:paraId="04D3176B" w14:textId="77777777" w:rsidR="007E5837" w:rsidRPr="00E74C8C" w:rsidRDefault="007E5837" w:rsidP="007E5837">
      <w:pPr>
        <w:spacing w:after="0" w:line="240" w:lineRule="auto"/>
        <w:rPr>
          <w:rFonts w:cstheme="minorHAnsi"/>
          <w:b/>
          <w:sz w:val="24"/>
          <w:szCs w:val="24"/>
        </w:rPr>
      </w:pPr>
    </w:p>
    <w:p w14:paraId="3B4FDAB2" w14:textId="77777777" w:rsidR="00181B56" w:rsidRPr="00E74C8C" w:rsidRDefault="00181B56" w:rsidP="00181B56">
      <w:pPr>
        <w:rPr>
          <w:rFonts w:cstheme="minorHAnsi"/>
          <w:b/>
          <w:sz w:val="24"/>
          <w:szCs w:val="24"/>
        </w:rPr>
      </w:pPr>
      <w:r w:rsidRPr="00E74C8C">
        <w:rPr>
          <w:rFonts w:cstheme="minorHAnsi"/>
          <w:b/>
          <w:sz w:val="24"/>
          <w:szCs w:val="24"/>
        </w:rPr>
        <w:t>Likelihood</w:t>
      </w:r>
    </w:p>
    <w:tbl>
      <w:tblPr>
        <w:tblStyle w:val="TableGrid"/>
        <w:tblW w:w="0" w:type="auto"/>
        <w:tblLook w:val="04A0" w:firstRow="1" w:lastRow="0" w:firstColumn="1" w:lastColumn="0" w:noHBand="0" w:noVBand="1"/>
        <w:tblCaption w:val="Likelihood scores and measures"/>
        <w:tblDescription w:val="Table showing level of likelihood and associated scores and measures"/>
      </w:tblPr>
      <w:tblGrid>
        <w:gridCol w:w="3005"/>
        <w:gridCol w:w="3005"/>
        <w:gridCol w:w="3006"/>
      </w:tblGrid>
      <w:tr w:rsidR="00C91F28" w:rsidRPr="00C91F28" w14:paraId="721F1086" w14:textId="77777777" w:rsidTr="00C91F28">
        <w:trPr>
          <w:tblHeader/>
        </w:trPr>
        <w:tc>
          <w:tcPr>
            <w:tcW w:w="3005" w:type="dxa"/>
          </w:tcPr>
          <w:p w14:paraId="78BA4358" w14:textId="5F2DB27D" w:rsidR="00C91F28" w:rsidRPr="00C91F28" w:rsidRDefault="00C91F28" w:rsidP="005D3C79">
            <w:pPr>
              <w:rPr>
                <w:rFonts w:cstheme="minorHAnsi"/>
                <w:b/>
                <w:sz w:val="24"/>
                <w:szCs w:val="24"/>
              </w:rPr>
            </w:pPr>
            <w:r w:rsidRPr="00C91F28">
              <w:rPr>
                <w:rFonts w:cstheme="minorHAnsi"/>
                <w:b/>
                <w:sz w:val="24"/>
                <w:szCs w:val="24"/>
              </w:rPr>
              <w:t>Likelihood</w:t>
            </w:r>
          </w:p>
        </w:tc>
        <w:tc>
          <w:tcPr>
            <w:tcW w:w="3005" w:type="dxa"/>
          </w:tcPr>
          <w:p w14:paraId="1CB691E3" w14:textId="2CB7DC8A" w:rsidR="00C91F28" w:rsidRPr="00C91F28" w:rsidRDefault="00C91F28" w:rsidP="005D3C79">
            <w:pPr>
              <w:rPr>
                <w:rFonts w:cstheme="minorHAnsi"/>
                <w:b/>
                <w:sz w:val="24"/>
                <w:szCs w:val="24"/>
              </w:rPr>
            </w:pPr>
            <w:r w:rsidRPr="00C91F28">
              <w:rPr>
                <w:rFonts w:cstheme="minorHAnsi"/>
                <w:b/>
                <w:sz w:val="24"/>
                <w:szCs w:val="24"/>
              </w:rPr>
              <w:t>Score</w:t>
            </w:r>
          </w:p>
        </w:tc>
        <w:tc>
          <w:tcPr>
            <w:tcW w:w="3006" w:type="dxa"/>
          </w:tcPr>
          <w:p w14:paraId="23078251" w14:textId="1175FB11" w:rsidR="00C91F28" w:rsidRPr="00C91F28" w:rsidRDefault="00C91F28" w:rsidP="005D3C79">
            <w:pPr>
              <w:rPr>
                <w:rFonts w:cstheme="minorHAnsi"/>
                <w:b/>
                <w:sz w:val="24"/>
                <w:szCs w:val="24"/>
              </w:rPr>
            </w:pPr>
            <w:r w:rsidRPr="00C91F28">
              <w:rPr>
                <w:rFonts w:cstheme="minorHAnsi"/>
                <w:b/>
                <w:sz w:val="24"/>
                <w:szCs w:val="24"/>
              </w:rPr>
              <w:t>Measure</w:t>
            </w:r>
          </w:p>
        </w:tc>
      </w:tr>
      <w:tr w:rsidR="00181B56" w:rsidRPr="00E74C8C" w14:paraId="15DD038F" w14:textId="77777777" w:rsidTr="005D3C79">
        <w:tc>
          <w:tcPr>
            <w:tcW w:w="3005" w:type="dxa"/>
          </w:tcPr>
          <w:p w14:paraId="0185BC2E" w14:textId="77777777" w:rsidR="00181B56" w:rsidRPr="00E74C8C" w:rsidRDefault="00181B56" w:rsidP="005D3C79">
            <w:pPr>
              <w:rPr>
                <w:rFonts w:cstheme="minorHAnsi"/>
                <w:sz w:val="24"/>
                <w:szCs w:val="24"/>
              </w:rPr>
            </w:pPr>
            <w:r w:rsidRPr="00E74C8C">
              <w:rPr>
                <w:rFonts w:cstheme="minorHAnsi"/>
                <w:sz w:val="24"/>
                <w:szCs w:val="24"/>
              </w:rPr>
              <w:t>Almost Certain</w:t>
            </w:r>
          </w:p>
        </w:tc>
        <w:tc>
          <w:tcPr>
            <w:tcW w:w="3005" w:type="dxa"/>
          </w:tcPr>
          <w:p w14:paraId="0290D834" w14:textId="77777777" w:rsidR="00181B56" w:rsidRPr="00E74C8C" w:rsidRDefault="00181B56" w:rsidP="005D3C79">
            <w:pPr>
              <w:rPr>
                <w:rFonts w:cstheme="minorHAnsi"/>
                <w:sz w:val="24"/>
                <w:szCs w:val="24"/>
              </w:rPr>
            </w:pPr>
            <w:r w:rsidRPr="00E74C8C">
              <w:rPr>
                <w:rFonts w:cstheme="minorHAnsi"/>
                <w:sz w:val="24"/>
                <w:szCs w:val="24"/>
              </w:rPr>
              <w:t>5</w:t>
            </w:r>
          </w:p>
        </w:tc>
        <w:tc>
          <w:tcPr>
            <w:tcW w:w="3006" w:type="dxa"/>
          </w:tcPr>
          <w:p w14:paraId="09C2EBCE" w14:textId="77777777" w:rsidR="00181B56" w:rsidRPr="00E74C8C" w:rsidRDefault="00181B56" w:rsidP="005D3C79">
            <w:pPr>
              <w:rPr>
                <w:rFonts w:cstheme="minorHAnsi"/>
                <w:sz w:val="24"/>
                <w:szCs w:val="24"/>
              </w:rPr>
            </w:pPr>
            <w:r w:rsidRPr="00E74C8C">
              <w:rPr>
                <w:rFonts w:cstheme="minorHAnsi"/>
                <w:sz w:val="24"/>
                <w:szCs w:val="24"/>
              </w:rPr>
              <w:t>Within the next year</w:t>
            </w:r>
          </w:p>
        </w:tc>
      </w:tr>
      <w:tr w:rsidR="00181B56" w:rsidRPr="00E74C8C" w14:paraId="4CE5E9E6" w14:textId="77777777" w:rsidTr="005D3C79">
        <w:tc>
          <w:tcPr>
            <w:tcW w:w="3005" w:type="dxa"/>
          </w:tcPr>
          <w:p w14:paraId="5ADE3540" w14:textId="77777777" w:rsidR="00181B56" w:rsidRPr="00E74C8C" w:rsidRDefault="00181B56" w:rsidP="005D3C79">
            <w:pPr>
              <w:rPr>
                <w:rFonts w:cstheme="minorHAnsi"/>
                <w:sz w:val="24"/>
                <w:szCs w:val="24"/>
              </w:rPr>
            </w:pPr>
            <w:r w:rsidRPr="00E74C8C">
              <w:rPr>
                <w:rFonts w:cstheme="minorHAnsi"/>
                <w:sz w:val="24"/>
                <w:szCs w:val="24"/>
              </w:rPr>
              <w:t>Likely</w:t>
            </w:r>
          </w:p>
        </w:tc>
        <w:tc>
          <w:tcPr>
            <w:tcW w:w="3005" w:type="dxa"/>
          </w:tcPr>
          <w:p w14:paraId="19ADB0BE" w14:textId="77777777" w:rsidR="00181B56" w:rsidRPr="00E74C8C" w:rsidRDefault="00181B56" w:rsidP="005D3C79">
            <w:pPr>
              <w:rPr>
                <w:rFonts w:cstheme="minorHAnsi"/>
                <w:sz w:val="24"/>
                <w:szCs w:val="24"/>
              </w:rPr>
            </w:pPr>
            <w:r w:rsidRPr="00E74C8C">
              <w:rPr>
                <w:rFonts w:cstheme="minorHAnsi"/>
                <w:sz w:val="24"/>
                <w:szCs w:val="24"/>
              </w:rPr>
              <w:t>4</w:t>
            </w:r>
          </w:p>
        </w:tc>
        <w:tc>
          <w:tcPr>
            <w:tcW w:w="3006" w:type="dxa"/>
          </w:tcPr>
          <w:p w14:paraId="3762305B" w14:textId="77777777" w:rsidR="00181B56" w:rsidRPr="00E74C8C" w:rsidRDefault="00181B56" w:rsidP="005D3C79">
            <w:pPr>
              <w:rPr>
                <w:rFonts w:cstheme="minorHAnsi"/>
                <w:sz w:val="24"/>
                <w:szCs w:val="24"/>
              </w:rPr>
            </w:pPr>
            <w:r w:rsidRPr="00E74C8C">
              <w:rPr>
                <w:rFonts w:cstheme="minorHAnsi"/>
                <w:sz w:val="24"/>
                <w:szCs w:val="24"/>
              </w:rPr>
              <w:t>Within the next 1-2 years</w:t>
            </w:r>
          </w:p>
        </w:tc>
      </w:tr>
      <w:tr w:rsidR="00181B56" w:rsidRPr="00E74C8C" w14:paraId="00F999B7" w14:textId="77777777" w:rsidTr="005D3C79">
        <w:tc>
          <w:tcPr>
            <w:tcW w:w="3005" w:type="dxa"/>
          </w:tcPr>
          <w:p w14:paraId="2B4B0A67" w14:textId="77777777" w:rsidR="00181B56" w:rsidRPr="00E74C8C" w:rsidRDefault="00181B56" w:rsidP="005D3C79">
            <w:pPr>
              <w:rPr>
                <w:rFonts w:cstheme="minorHAnsi"/>
                <w:sz w:val="24"/>
                <w:szCs w:val="24"/>
              </w:rPr>
            </w:pPr>
            <w:r w:rsidRPr="00E74C8C">
              <w:rPr>
                <w:rFonts w:cstheme="minorHAnsi"/>
                <w:sz w:val="24"/>
                <w:szCs w:val="24"/>
              </w:rPr>
              <w:t>Possible</w:t>
            </w:r>
          </w:p>
        </w:tc>
        <w:tc>
          <w:tcPr>
            <w:tcW w:w="3005" w:type="dxa"/>
          </w:tcPr>
          <w:p w14:paraId="78DACFD5" w14:textId="77777777" w:rsidR="00181B56" w:rsidRPr="00E74C8C" w:rsidRDefault="00181B56" w:rsidP="005D3C79">
            <w:pPr>
              <w:rPr>
                <w:rFonts w:cstheme="minorHAnsi"/>
                <w:sz w:val="24"/>
                <w:szCs w:val="24"/>
              </w:rPr>
            </w:pPr>
            <w:r w:rsidRPr="00E74C8C">
              <w:rPr>
                <w:rFonts w:cstheme="minorHAnsi"/>
                <w:sz w:val="24"/>
                <w:szCs w:val="24"/>
              </w:rPr>
              <w:t>3</w:t>
            </w:r>
          </w:p>
        </w:tc>
        <w:tc>
          <w:tcPr>
            <w:tcW w:w="3006" w:type="dxa"/>
          </w:tcPr>
          <w:p w14:paraId="7D6403FA" w14:textId="77777777" w:rsidR="00181B56" w:rsidRPr="00E74C8C" w:rsidRDefault="00181B56" w:rsidP="005D3C79">
            <w:pPr>
              <w:rPr>
                <w:rFonts w:cstheme="minorHAnsi"/>
                <w:sz w:val="24"/>
                <w:szCs w:val="24"/>
              </w:rPr>
            </w:pPr>
            <w:r w:rsidRPr="00E74C8C">
              <w:rPr>
                <w:rFonts w:cstheme="minorHAnsi"/>
                <w:sz w:val="24"/>
                <w:szCs w:val="24"/>
              </w:rPr>
              <w:t>likely in next 5 years</w:t>
            </w:r>
          </w:p>
        </w:tc>
      </w:tr>
      <w:tr w:rsidR="00181B56" w:rsidRPr="00E74C8C" w14:paraId="36FE5E82" w14:textId="77777777" w:rsidTr="005D3C79">
        <w:tc>
          <w:tcPr>
            <w:tcW w:w="3005" w:type="dxa"/>
          </w:tcPr>
          <w:p w14:paraId="028AB9C1" w14:textId="77777777" w:rsidR="00181B56" w:rsidRPr="00E74C8C" w:rsidRDefault="00181B56" w:rsidP="005D3C79">
            <w:pPr>
              <w:rPr>
                <w:rFonts w:cstheme="minorHAnsi"/>
                <w:sz w:val="24"/>
                <w:szCs w:val="24"/>
              </w:rPr>
            </w:pPr>
            <w:r w:rsidRPr="00E74C8C">
              <w:rPr>
                <w:rFonts w:cstheme="minorHAnsi"/>
                <w:sz w:val="24"/>
                <w:szCs w:val="24"/>
              </w:rPr>
              <w:t>Unlikely</w:t>
            </w:r>
          </w:p>
        </w:tc>
        <w:tc>
          <w:tcPr>
            <w:tcW w:w="3005" w:type="dxa"/>
          </w:tcPr>
          <w:p w14:paraId="1F04E467" w14:textId="77777777" w:rsidR="00181B56" w:rsidRPr="00E74C8C" w:rsidRDefault="00181B56" w:rsidP="005D3C79">
            <w:pPr>
              <w:rPr>
                <w:rFonts w:cstheme="minorHAnsi"/>
                <w:sz w:val="24"/>
                <w:szCs w:val="24"/>
              </w:rPr>
            </w:pPr>
            <w:r w:rsidRPr="00E74C8C">
              <w:rPr>
                <w:rFonts w:cstheme="minorHAnsi"/>
                <w:sz w:val="24"/>
                <w:szCs w:val="24"/>
              </w:rPr>
              <w:t>2</w:t>
            </w:r>
          </w:p>
        </w:tc>
        <w:tc>
          <w:tcPr>
            <w:tcW w:w="3006" w:type="dxa"/>
          </w:tcPr>
          <w:p w14:paraId="19BB06BE" w14:textId="77777777" w:rsidR="00181B56" w:rsidRPr="00E74C8C" w:rsidRDefault="00181B56" w:rsidP="005D3C79">
            <w:pPr>
              <w:rPr>
                <w:rFonts w:cstheme="minorHAnsi"/>
                <w:sz w:val="24"/>
                <w:szCs w:val="24"/>
              </w:rPr>
            </w:pPr>
            <w:r w:rsidRPr="00E74C8C">
              <w:rPr>
                <w:rFonts w:cstheme="minorHAnsi"/>
                <w:sz w:val="24"/>
                <w:szCs w:val="24"/>
              </w:rPr>
              <w:t>Unlikely in next 10 years</w:t>
            </w:r>
          </w:p>
        </w:tc>
      </w:tr>
      <w:tr w:rsidR="00181B56" w:rsidRPr="00E74C8C" w14:paraId="17DF7E7F" w14:textId="77777777" w:rsidTr="005D3C79">
        <w:tc>
          <w:tcPr>
            <w:tcW w:w="3005" w:type="dxa"/>
          </w:tcPr>
          <w:p w14:paraId="577C7B40" w14:textId="77777777" w:rsidR="00181B56" w:rsidRPr="00E74C8C" w:rsidRDefault="00181B56" w:rsidP="005D3C79">
            <w:pPr>
              <w:rPr>
                <w:rFonts w:cstheme="minorHAnsi"/>
                <w:sz w:val="24"/>
                <w:szCs w:val="24"/>
              </w:rPr>
            </w:pPr>
            <w:r w:rsidRPr="00E74C8C">
              <w:rPr>
                <w:rFonts w:cstheme="minorHAnsi"/>
                <w:sz w:val="24"/>
                <w:szCs w:val="24"/>
              </w:rPr>
              <w:t>Rare</w:t>
            </w:r>
          </w:p>
        </w:tc>
        <w:tc>
          <w:tcPr>
            <w:tcW w:w="3005" w:type="dxa"/>
          </w:tcPr>
          <w:p w14:paraId="5D913C7C" w14:textId="77777777" w:rsidR="00181B56" w:rsidRPr="00E74C8C" w:rsidRDefault="00181B56" w:rsidP="005D3C79">
            <w:pPr>
              <w:rPr>
                <w:rFonts w:cstheme="minorHAnsi"/>
                <w:sz w:val="24"/>
                <w:szCs w:val="24"/>
              </w:rPr>
            </w:pPr>
            <w:r w:rsidRPr="00E74C8C">
              <w:rPr>
                <w:rFonts w:cstheme="minorHAnsi"/>
                <w:sz w:val="24"/>
                <w:szCs w:val="24"/>
              </w:rPr>
              <w:t>1</w:t>
            </w:r>
          </w:p>
        </w:tc>
        <w:tc>
          <w:tcPr>
            <w:tcW w:w="3006" w:type="dxa"/>
          </w:tcPr>
          <w:p w14:paraId="27CA5304" w14:textId="77777777" w:rsidR="00181B56" w:rsidRPr="00E74C8C" w:rsidRDefault="00181B56" w:rsidP="005D3C79">
            <w:pPr>
              <w:rPr>
                <w:rFonts w:cstheme="minorHAnsi"/>
                <w:sz w:val="24"/>
                <w:szCs w:val="24"/>
              </w:rPr>
            </w:pPr>
            <w:r w:rsidRPr="00E74C8C">
              <w:rPr>
                <w:rFonts w:cstheme="minorHAnsi"/>
                <w:sz w:val="24"/>
                <w:szCs w:val="24"/>
              </w:rPr>
              <w:t>Unlikely in next 20 years</w:t>
            </w:r>
          </w:p>
        </w:tc>
      </w:tr>
    </w:tbl>
    <w:p w14:paraId="740490E5" w14:textId="77777777" w:rsidR="00181B56" w:rsidRPr="00E74C8C" w:rsidRDefault="00181B56" w:rsidP="007E5837">
      <w:pPr>
        <w:spacing w:after="0" w:line="240" w:lineRule="auto"/>
        <w:rPr>
          <w:rFonts w:cstheme="minorHAnsi"/>
          <w:sz w:val="24"/>
          <w:szCs w:val="24"/>
        </w:rPr>
      </w:pPr>
    </w:p>
    <w:p w14:paraId="664E9BFD" w14:textId="77777777" w:rsidR="00181B56" w:rsidRPr="00E74C8C" w:rsidRDefault="00181B56" w:rsidP="007E5837">
      <w:pPr>
        <w:spacing w:after="0" w:line="240" w:lineRule="auto"/>
        <w:rPr>
          <w:rFonts w:cstheme="minorHAnsi"/>
          <w:sz w:val="24"/>
          <w:szCs w:val="24"/>
        </w:rPr>
      </w:pPr>
    </w:p>
    <w:p w14:paraId="70C314D8" w14:textId="77777777" w:rsidR="00181B56" w:rsidRPr="00E74C8C" w:rsidRDefault="00181B56" w:rsidP="00181B56">
      <w:pPr>
        <w:rPr>
          <w:rFonts w:cstheme="minorHAnsi"/>
          <w:sz w:val="24"/>
          <w:szCs w:val="24"/>
        </w:rPr>
      </w:pPr>
      <w:r w:rsidRPr="00E74C8C">
        <w:rPr>
          <w:rFonts w:cstheme="minorHAnsi"/>
          <w:sz w:val="24"/>
          <w:szCs w:val="24"/>
          <w:u w:val="single"/>
        </w:rPr>
        <w:t>Mapping Risk Tolerance to Risk Appetite</w:t>
      </w:r>
    </w:p>
    <w:tbl>
      <w:tblPr>
        <w:tblStyle w:val="TableGrid"/>
        <w:tblW w:w="10349" w:type="dxa"/>
        <w:tblInd w:w="-856" w:type="dxa"/>
        <w:tblLook w:val="04A0" w:firstRow="1" w:lastRow="0" w:firstColumn="1" w:lastColumn="0" w:noHBand="0" w:noVBand="1"/>
        <w:tblCaption w:val="Mapping risk tolerance to risk appetite"/>
        <w:tblDescription w:val="Table showing low, medium and high risk appetite and associated risk tolerance scores"/>
      </w:tblPr>
      <w:tblGrid>
        <w:gridCol w:w="338"/>
        <w:gridCol w:w="338"/>
        <w:gridCol w:w="338"/>
        <w:gridCol w:w="338"/>
        <w:gridCol w:w="338"/>
        <w:gridCol w:w="338"/>
        <w:gridCol w:w="338"/>
        <w:gridCol w:w="338"/>
        <w:gridCol w:w="338"/>
        <w:gridCol w:w="460"/>
        <w:gridCol w:w="460"/>
        <w:gridCol w:w="460"/>
        <w:gridCol w:w="460"/>
        <w:gridCol w:w="460"/>
        <w:gridCol w:w="460"/>
        <w:gridCol w:w="460"/>
        <w:gridCol w:w="460"/>
        <w:gridCol w:w="460"/>
        <w:gridCol w:w="460"/>
        <w:gridCol w:w="460"/>
        <w:gridCol w:w="460"/>
        <w:gridCol w:w="460"/>
        <w:gridCol w:w="460"/>
        <w:gridCol w:w="460"/>
        <w:gridCol w:w="460"/>
      </w:tblGrid>
      <w:tr w:rsidR="00181B56" w:rsidRPr="00C91F28" w14:paraId="7A463F8F" w14:textId="77777777" w:rsidTr="00EA57C2">
        <w:trPr>
          <w:tblHeader/>
        </w:trPr>
        <w:tc>
          <w:tcPr>
            <w:tcW w:w="2928" w:type="dxa"/>
            <w:gridSpan w:val="9"/>
          </w:tcPr>
          <w:p w14:paraId="07039DCE" w14:textId="5286DFEF" w:rsidR="00181B56" w:rsidRPr="00C91F28" w:rsidRDefault="00181B56" w:rsidP="00EA57C2">
            <w:pPr>
              <w:jc w:val="center"/>
              <w:rPr>
                <w:rFonts w:cstheme="minorHAnsi"/>
                <w:b/>
                <w:sz w:val="24"/>
                <w:szCs w:val="24"/>
              </w:rPr>
            </w:pPr>
            <w:r w:rsidRPr="00C91F28">
              <w:rPr>
                <w:rFonts w:cstheme="minorHAnsi"/>
                <w:b/>
                <w:sz w:val="24"/>
                <w:szCs w:val="24"/>
              </w:rPr>
              <w:t>Low Appetite</w:t>
            </w:r>
            <w:r w:rsidR="00EA57C2">
              <w:rPr>
                <w:rFonts w:cstheme="minorHAnsi"/>
                <w:b/>
                <w:sz w:val="24"/>
                <w:szCs w:val="24"/>
              </w:rPr>
              <w:t xml:space="preserve"> (1 – 9)</w:t>
            </w:r>
          </w:p>
        </w:tc>
        <w:tc>
          <w:tcPr>
            <w:tcW w:w="3472" w:type="dxa"/>
            <w:gridSpan w:val="8"/>
          </w:tcPr>
          <w:p w14:paraId="30C99AB7" w14:textId="3552A333" w:rsidR="00181B56" w:rsidRPr="00C91F28" w:rsidRDefault="00181B56" w:rsidP="00EA57C2">
            <w:pPr>
              <w:jc w:val="center"/>
              <w:rPr>
                <w:rFonts w:cstheme="minorHAnsi"/>
                <w:b/>
                <w:sz w:val="24"/>
                <w:szCs w:val="24"/>
              </w:rPr>
            </w:pPr>
            <w:r w:rsidRPr="00C91F28">
              <w:rPr>
                <w:rFonts w:cstheme="minorHAnsi"/>
                <w:b/>
                <w:sz w:val="24"/>
                <w:szCs w:val="24"/>
              </w:rPr>
              <w:t>Medium Appetite</w:t>
            </w:r>
            <w:r w:rsidR="00EA57C2">
              <w:rPr>
                <w:rFonts w:cstheme="minorHAnsi"/>
                <w:b/>
                <w:sz w:val="24"/>
                <w:szCs w:val="24"/>
              </w:rPr>
              <w:t xml:space="preserve"> (10 – 17)</w:t>
            </w:r>
          </w:p>
        </w:tc>
        <w:tc>
          <w:tcPr>
            <w:tcW w:w="3949" w:type="dxa"/>
            <w:gridSpan w:val="8"/>
          </w:tcPr>
          <w:p w14:paraId="41411EC5" w14:textId="6ABA8CCA" w:rsidR="00181B56" w:rsidRPr="00C91F28" w:rsidRDefault="00181B56" w:rsidP="00EA57C2">
            <w:pPr>
              <w:jc w:val="center"/>
              <w:rPr>
                <w:rFonts w:cstheme="minorHAnsi"/>
                <w:b/>
                <w:sz w:val="24"/>
                <w:szCs w:val="24"/>
              </w:rPr>
            </w:pPr>
            <w:r w:rsidRPr="00C91F28">
              <w:rPr>
                <w:rFonts w:cstheme="minorHAnsi"/>
                <w:b/>
                <w:sz w:val="24"/>
                <w:szCs w:val="24"/>
              </w:rPr>
              <w:t>High Appetite</w:t>
            </w:r>
            <w:r w:rsidR="00EA57C2">
              <w:rPr>
                <w:rFonts w:cstheme="minorHAnsi"/>
                <w:b/>
                <w:sz w:val="24"/>
                <w:szCs w:val="24"/>
              </w:rPr>
              <w:t xml:space="preserve"> (18 – 25)</w:t>
            </w:r>
          </w:p>
        </w:tc>
      </w:tr>
      <w:tr w:rsidR="00181B56" w:rsidRPr="00E74C8C" w14:paraId="02E3E550" w14:textId="77777777" w:rsidTr="00EA57C2">
        <w:tc>
          <w:tcPr>
            <w:tcW w:w="326" w:type="dxa"/>
          </w:tcPr>
          <w:p w14:paraId="7401428A" w14:textId="77777777" w:rsidR="00181B56" w:rsidRPr="00E74C8C" w:rsidRDefault="00181B56" w:rsidP="005D3C79">
            <w:pPr>
              <w:rPr>
                <w:rFonts w:cstheme="minorHAnsi"/>
                <w:sz w:val="24"/>
                <w:szCs w:val="24"/>
              </w:rPr>
            </w:pPr>
            <w:r w:rsidRPr="00E74C8C">
              <w:rPr>
                <w:rFonts w:cstheme="minorHAnsi"/>
                <w:sz w:val="24"/>
                <w:szCs w:val="24"/>
              </w:rPr>
              <w:t>1</w:t>
            </w:r>
          </w:p>
        </w:tc>
        <w:tc>
          <w:tcPr>
            <w:tcW w:w="326" w:type="dxa"/>
          </w:tcPr>
          <w:p w14:paraId="6F62900E" w14:textId="77777777" w:rsidR="00181B56" w:rsidRPr="00E74C8C" w:rsidRDefault="00181B56" w:rsidP="005D3C79">
            <w:pPr>
              <w:rPr>
                <w:rFonts w:cstheme="minorHAnsi"/>
                <w:sz w:val="24"/>
                <w:szCs w:val="24"/>
              </w:rPr>
            </w:pPr>
            <w:r w:rsidRPr="00E74C8C">
              <w:rPr>
                <w:rFonts w:cstheme="minorHAnsi"/>
                <w:sz w:val="24"/>
                <w:szCs w:val="24"/>
              </w:rPr>
              <w:t>2</w:t>
            </w:r>
          </w:p>
        </w:tc>
        <w:tc>
          <w:tcPr>
            <w:tcW w:w="326" w:type="dxa"/>
          </w:tcPr>
          <w:p w14:paraId="333D66E4" w14:textId="77777777" w:rsidR="00181B56" w:rsidRPr="00E74C8C" w:rsidRDefault="00181B56" w:rsidP="005D3C79">
            <w:pPr>
              <w:rPr>
                <w:rFonts w:cstheme="minorHAnsi"/>
                <w:sz w:val="24"/>
                <w:szCs w:val="24"/>
              </w:rPr>
            </w:pPr>
            <w:r w:rsidRPr="00E74C8C">
              <w:rPr>
                <w:rFonts w:cstheme="minorHAnsi"/>
                <w:sz w:val="24"/>
                <w:szCs w:val="24"/>
              </w:rPr>
              <w:t>3</w:t>
            </w:r>
          </w:p>
        </w:tc>
        <w:tc>
          <w:tcPr>
            <w:tcW w:w="325" w:type="dxa"/>
          </w:tcPr>
          <w:p w14:paraId="55A111C4" w14:textId="77777777" w:rsidR="00181B56" w:rsidRPr="00E74C8C" w:rsidRDefault="00181B56" w:rsidP="005D3C79">
            <w:pPr>
              <w:rPr>
                <w:rFonts w:cstheme="minorHAnsi"/>
                <w:sz w:val="24"/>
                <w:szCs w:val="24"/>
              </w:rPr>
            </w:pPr>
            <w:r w:rsidRPr="00E74C8C">
              <w:rPr>
                <w:rFonts w:cstheme="minorHAnsi"/>
                <w:sz w:val="24"/>
                <w:szCs w:val="24"/>
              </w:rPr>
              <w:t>4</w:t>
            </w:r>
          </w:p>
        </w:tc>
        <w:tc>
          <w:tcPr>
            <w:tcW w:w="325" w:type="dxa"/>
          </w:tcPr>
          <w:p w14:paraId="1F337D59" w14:textId="77777777" w:rsidR="00181B56" w:rsidRPr="00E74C8C" w:rsidRDefault="00181B56" w:rsidP="005D3C79">
            <w:pPr>
              <w:rPr>
                <w:rFonts w:cstheme="minorHAnsi"/>
                <w:sz w:val="24"/>
                <w:szCs w:val="24"/>
              </w:rPr>
            </w:pPr>
            <w:r w:rsidRPr="00E74C8C">
              <w:rPr>
                <w:rFonts w:cstheme="minorHAnsi"/>
                <w:sz w:val="24"/>
                <w:szCs w:val="24"/>
              </w:rPr>
              <w:t>5</w:t>
            </w:r>
          </w:p>
        </w:tc>
        <w:tc>
          <w:tcPr>
            <w:tcW w:w="325" w:type="dxa"/>
          </w:tcPr>
          <w:p w14:paraId="155C7D73" w14:textId="77777777" w:rsidR="00181B56" w:rsidRPr="00E74C8C" w:rsidRDefault="00181B56" w:rsidP="005D3C79">
            <w:pPr>
              <w:rPr>
                <w:rFonts w:cstheme="minorHAnsi"/>
                <w:sz w:val="24"/>
                <w:szCs w:val="24"/>
              </w:rPr>
            </w:pPr>
            <w:r w:rsidRPr="00E74C8C">
              <w:rPr>
                <w:rFonts w:cstheme="minorHAnsi"/>
                <w:sz w:val="24"/>
                <w:szCs w:val="24"/>
              </w:rPr>
              <w:t>6</w:t>
            </w:r>
          </w:p>
        </w:tc>
        <w:tc>
          <w:tcPr>
            <w:tcW w:w="325" w:type="dxa"/>
          </w:tcPr>
          <w:p w14:paraId="18456E82" w14:textId="77777777" w:rsidR="00181B56" w:rsidRPr="00E74C8C" w:rsidRDefault="00181B56" w:rsidP="005D3C79">
            <w:pPr>
              <w:rPr>
                <w:rFonts w:cstheme="minorHAnsi"/>
                <w:sz w:val="24"/>
                <w:szCs w:val="24"/>
              </w:rPr>
            </w:pPr>
            <w:r w:rsidRPr="00E74C8C">
              <w:rPr>
                <w:rFonts w:cstheme="minorHAnsi"/>
                <w:sz w:val="24"/>
                <w:szCs w:val="24"/>
              </w:rPr>
              <w:t>7</w:t>
            </w:r>
          </w:p>
        </w:tc>
        <w:tc>
          <w:tcPr>
            <w:tcW w:w="325" w:type="dxa"/>
          </w:tcPr>
          <w:p w14:paraId="3AAD40E0" w14:textId="77777777" w:rsidR="00181B56" w:rsidRPr="00E74C8C" w:rsidRDefault="00181B56" w:rsidP="005D3C79">
            <w:pPr>
              <w:rPr>
                <w:rFonts w:cstheme="minorHAnsi"/>
                <w:sz w:val="24"/>
                <w:szCs w:val="24"/>
              </w:rPr>
            </w:pPr>
            <w:r w:rsidRPr="00E74C8C">
              <w:rPr>
                <w:rFonts w:cstheme="minorHAnsi"/>
                <w:sz w:val="24"/>
                <w:szCs w:val="24"/>
              </w:rPr>
              <w:t>8</w:t>
            </w:r>
          </w:p>
        </w:tc>
        <w:tc>
          <w:tcPr>
            <w:tcW w:w="325" w:type="dxa"/>
          </w:tcPr>
          <w:p w14:paraId="239EAE70" w14:textId="77777777" w:rsidR="00181B56" w:rsidRPr="00E74C8C" w:rsidRDefault="00181B56" w:rsidP="005D3C79">
            <w:pPr>
              <w:rPr>
                <w:rFonts w:cstheme="minorHAnsi"/>
                <w:sz w:val="24"/>
                <w:szCs w:val="24"/>
              </w:rPr>
            </w:pPr>
            <w:r w:rsidRPr="00E74C8C">
              <w:rPr>
                <w:rFonts w:cstheme="minorHAnsi"/>
                <w:sz w:val="24"/>
                <w:szCs w:val="24"/>
              </w:rPr>
              <w:t>9</w:t>
            </w:r>
          </w:p>
        </w:tc>
        <w:tc>
          <w:tcPr>
            <w:tcW w:w="434" w:type="dxa"/>
          </w:tcPr>
          <w:p w14:paraId="1996C918" w14:textId="77777777" w:rsidR="00181B56" w:rsidRPr="00E74C8C" w:rsidRDefault="00181B56" w:rsidP="005D3C79">
            <w:pPr>
              <w:rPr>
                <w:rFonts w:cstheme="minorHAnsi"/>
                <w:sz w:val="24"/>
                <w:szCs w:val="24"/>
              </w:rPr>
            </w:pPr>
            <w:r w:rsidRPr="00E74C8C">
              <w:rPr>
                <w:rFonts w:cstheme="minorHAnsi"/>
                <w:sz w:val="24"/>
                <w:szCs w:val="24"/>
              </w:rPr>
              <w:t>10</w:t>
            </w:r>
          </w:p>
        </w:tc>
        <w:tc>
          <w:tcPr>
            <w:tcW w:w="434" w:type="dxa"/>
          </w:tcPr>
          <w:p w14:paraId="48AD5F5B" w14:textId="77777777" w:rsidR="00181B56" w:rsidRPr="00E74C8C" w:rsidRDefault="00181B56" w:rsidP="005D3C79">
            <w:pPr>
              <w:rPr>
                <w:rFonts w:cstheme="minorHAnsi"/>
                <w:sz w:val="24"/>
                <w:szCs w:val="24"/>
              </w:rPr>
            </w:pPr>
            <w:r w:rsidRPr="00E74C8C">
              <w:rPr>
                <w:rFonts w:cstheme="minorHAnsi"/>
                <w:sz w:val="24"/>
                <w:szCs w:val="24"/>
              </w:rPr>
              <w:t>11</w:t>
            </w:r>
          </w:p>
        </w:tc>
        <w:tc>
          <w:tcPr>
            <w:tcW w:w="434" w:type="dxa"/>
          </w:tcPr>
          <w:p w14:paraId="3E300465" w14:textId="77777777" w:rsidR="00181B56" w:rsidRPr="00E74C8C" w:rsidRDefault="00181B56" w:rsidP="005D3C79">
            <w:pPr>
              <w:rPr>
                <w:rFonts w:cstheme="minorHAnsi"/>
                <w:sz w:val="24"/>
                <w:szCs w:val="24"/>
              </w:rPr>
            </w:pPr>
            <w:r w:rsidRPr="00E74C8C">
              <w:rPr>
                <w:rFonts w:cstheme="minorHAnsi"/>
                <w:sz w:val="24"/>
                <w:szCs w:val="24"/>
              </w:rPr>
              <w:t>12</w:t>
            </w:r>
          </w:p>
        </w:tc>
        <w:tc>
          <w:tcPr>
            <w:tcW w:w="434" w:type="dxa"/>
          </w:tcPr>
          <w:p w14:paraId="53256477" w14:textId="77777777" w:rsidR="00181B56" w:rsidRPr="00E74C8C" w:rsidRDefault="00181B56" w:rsidP="005D3C79">
            <w:pPr>
              <w:rPr>
                <w:rFonts w:cstheme="minorHAnsi"/>
                <w:sz w:val="24"/>
                <w:szCs w:val="24"/>
              </w:rPr>
            </w:pPr>
            <w:r w:rsidRPr="00E74C8C">
              <w:rPr>
                <w:rFonts w:cstheme="minorHAnsi"/>
                <w:sz w:val="24"/>
                <w:szCs w:val="24"/>
              </w:rPr>
              <w:t>13</w:t>
            </w:r>
          </w:p>
        </w:tc>
        <w:tc>
          <w:tcPr>
            <w:tcW w:w="434" w:type="dxa"/>
          </w:tcPr>
          <w:p w14:paraId="5C8C17E6" w14:textId="77777777" w:rsidR="00181B56" w:rsidRPr="00E74C8C" w:rsidRDefault="00181B56" w:rsidP="005D3C79">
            <w:pPr>
              <w:rPr>
                <w:rFonts w:cstheme="minorHAnsi"/>
                <w:sz w:val="24"/>
                <w:szCs w:val="24"/>
              </w:rPr>
            </w:pPr>
            <w:r w:rsidRPr="00E74C8C">
              <w:rPr>
                <w:rFonts w:cstheme="minorHAnsi"/>
                <w:sz w:val="24"/>
                <w:szCs w:val="24"/>
              </w:rPr>
              <w:t>14</w:t>
            </w:r>
          </w:p>
        </w:tc>
        <w:tc>
          <w:tcPr>
            <w:tcW w:w="434" w:type="dxa"/>
          </w:tcPr>
          <w:p w14:paraId="057DB743" w14:textId="77777777" w:rsidR="00181B56" w:rsidRPr="00E74C8C" w:rsidRDefault="00181B56" w:rsidP="005D3C79">
            <w:pPr>
              <w:rPr>
                <w:rFonts w:cstheme="minorHAnsi"/>
                <w:sz w:val="24"/>
                <w:szCs w:val="24"/>
              </w:rPr>
            </w:pPr>
            <w:r w:rsidRPr="00E74C8C">
              <w:rPr>
                <w:rFonts w:cstheme="minorHAnsi"/>
                <w:sz w:val="24"/>
                <w:szCs w:val="24"/>
              </w:rPr>
              <w:t>15</w:t>
            </w:r>
          </w:p>
        </w:tc>
        <w:tc>
          <w:tcPr>
            <w:tcW w:w="434" w:type="dxa"/>
          </w:tcPr>
          <w:p w14:paraId="42EC3D9C" w14:textId="77777777" w:rsidR="00181B56" w:rsidRPr="00E74C8C" w:rsidRDefault="00181B56" w:rsidP="005D3C79">
            <w:pPr>
              <w:rPr>
                <w:rFonts w:cstheme="minorHAnsi"/>
                <w:sz w:val="24"/>
                <w:szCs w:val="24"/>
              </w:rPr>
            </w:pPr>
            <w:r w:rsidRPr="00E74C8C">
              <w:rPr>
                <w:rFonts w:cstheme="minorHAnsi"/>
                <w:sz w:val="24"/>
                <w:szCs w:val="24"/>
              </w:rPr>
              <w:t>16</w:t>
            </w:r>
          </w:p>
        </w:tc>
        <w:tc>
          <w:tcPr>
            <w:tcW w:w="434" w:type="dxa"/>
          </w:tcPr>
          <w:p w14:paraId="7C047351" w14:textId="77777777" w:rsidR="00181B56" w:rsidRPr="00E74C8C" w:rsidRDefault="00181B56" w:rsidP="005D3C79">
            <w:pPr>
              <w:rPr>
                <w:rFonts w:cstheme="minorHAnsi"/>
                <w:sz w:val="24"/>
                <w:szCs w:val="24"/>
              </w:rPr>
            </w:pPr>
            <w:r w:rsidRPr="00E74C8C">
              <w:rPr>
                <w:rFonts w:cstheme="minorHAnsi"/>
                <w:sz w:val="24"/>
                <w:szCs w:val="24"/>
              </w:rPr>
              <w:t>17</w:t>
            </w:r>
          </w:p>
        </w:tc>
        <w:tc>
          <w:tcPr>
            <w:tcW w:w="434" w:type="dxa"/>
          </w:tcPr>
          <w:p w14:paraId="51C8EEF9" w14:textId="77777777" w:rsidR="00181B56" w:rsidRPr="00E74C8C" w:rsidRDefault="00181B56" w:rsidP="005D3C79">
            <w:pPr>
              <w:rPr>
                <w:rFonts w:cstheme="minorHAnsi"/>
                <w:sz w:val="24"/>
                <w:szCs w:val="24"/>
              </w:rPr>
            </w:pPr>
            <w:r w:rsidRPr="00E74C8C">
              <w:rPr>
                <w:rFonts w:cstheme="minorHAnsi"/>
                <w:sz w:val="24"/>
                <w:szCs w:val="24"/>
              </w:rPr>
              <w:t>18</w:t>
            </w:r>
          </w:p>
        </w:tc>
        <w:tc>
          <w:tcPr>
            <w:tcW w:w="434" w:type="dxa"/>
          </w:tcPr>
          <w:p w14:paraId="2484ACBC" w14:textId="77777777" w:rsidR="00181B56" w:rsidRPr="00E74C8C" w:rsidRDefault="00181B56" w:rsidP="005D3C79">
            <w:pPr>
              <w:rPr>
                <w:rFonts w:cstheme="minorHAnsi"/>
                <w:sz w:val="24"/>
                <w:szCs w:val="24"/>
              </w:rPr>
            </w:pPr>
            <w:r w:rsidRPr="00E74C8C">
              <w:rPr>
                <w:rFonts w:cstheme="minorHAnsi"/>
                <w:sz w:val="24"/>
                <w:szCs w:val="24"/>
              </w:rPr>
              <w:t>19</w:t>
            </w:r>
          </w:p>
        </w:tc>
        <w:tc>
          <w:tcPr>
            <w:tcW w:w="434" w:type="dxa"/>
          </w:tcPr>
          <w:p w14:paraId="10E37FD1" w14:textId="77777777" w:rsidR="00181B56" w:rsidRPr="00E74C8C" w:rsidRDefault="00181B56" w:rsidP="005D3C79">
            <w:pPr>
              <w:rPr>
                <w:rFonts w:cstheme="minorHAnsi"/>
                <w:sz w:val="24"/>
                <w:szCs w:val="24"/>
              </w:rPr>
            </w:pPr>
            <w:r w:rsidRPr="00E74C8C">
              <w:rPr>
                <w:rFonts w:cstheme="minorHAnsi"/>
                <w:sz w:val="24"/>
                <w:szCs w:val="24"/>
              </w:rPr>
              <w:t>20</w:t>
            </w:r>
          </w:p>
        </w:tc>
        <w:tc>
          <w:tcPr>
            <w:tcW w:w="434" w:type="dxa"/>
          </w:tcPr>
          <w:p w14:paraId="02AB2E66" w14:textId="77777777" w:rsidR="00181B56" w:rsidRPr="00E74C8C" w:rsidRDefault="00181B56" w:rsidP="005D3C79">
            <w:pPr>
              <w:rPr>
                <w:rFonts w:cstheme="minorHAnsi"/>
                <w:sz w:val="24"/>
                <w:szCs w:val="24"/>
              </w:rPr>
            </w:pPr>
            <w:r w:rsidRPr="00E74C8C">
              <w:rPr>
                <w:rFonts w:cstheme="minorHAnsi"/>
                <w:sz w:val="24"/>
                <w:szCs w:val="24"/>
              </w:rPr>
              <w:t>21</w:t>
            </w:r>
          </w:p>
        </w:tc>
        <w:tc>
          <w:tcPr>
            <w:tcW w:w="434" w:type="dxa"/>
          </w:tcPr>
          <w:p w14:paraId="7C1FBEBE" w14:textId="77777777" w:rsidR="00181B56" w:rsidRPr="00E74C8C" w:rsidRDefault="00181B56" w:rsidP="005D3C79">
            <w:pPr>
              <w:rPr>
                <w:rFonts w:cstheme="minorHAnsi"/>
                <w:sz w:val="24"/>
                <w:szCs w:val="24"/>
              </w:rPr>
            </w:pPr>
            <w:r w:rsidRPr="00E74C8C">
              <w:rPr>
                <w:rFonts w:cstheme="minorHAnsi"/>
                <w:sz w:val="24"/>
                <w:szCs w:val="24"/>
              </w:rPr>
              <w:t>22</w:t>
            </w:r>
          </w:p>
        </w:tc>
        <w:tc>
          <w:tcPr>
            <w:tcW w:w="434" w:type="dxa"/>
          </w:tcPr>
          <w:p w14:paraId="68E56800" w14:textId="77777777" w:rsidR="00181B56" w:rsidRPr="00E74C8C" w:rsidRDefault="00181B56" w:rsidP="005D3C79">
            <w:pPr>
              <w:rPr>
                <w:rFonts w:cstheme="minorHAnsi"/>
                <w:sz w:val="24"/>
                <w:szCs w:val="24"/>
              </w:rPr>
            </w:pPr>
            <w:r w:rsidRPr="00E74C8C">
              <w:rPr>
                <w:rFonts w:cstheme="minorHAnsi"/>
                <w:sz w:val="24"/>
                <w:szCs w:val="24"/>
              </w:rPr>
              <w:t>23</w:t>
            </w:r>
          </w:p>
        </w:tc>
        <w:tc>
          <w:tcPr>
            <w:tcW w:w="434" w:type="dxa"/>
          </w:tcPr>
          <w:p w14:paraId="43D3A4D6" w14:textId="77777777" w:rsidR="00181B56" w:rsidRPr="00E74C8C" w:rsidRDefault="00181B56" w:rsidP="005D3C79">
            <w:pPr>
              <w:rPr>
                <w:rFonts w:cstheme="minorHAnsi"/>
                <w:sz w:val="24"/>
                <w:szCs w:val="24"/>
              </w:rPr>
            </w:pPr>
            <w:r w:rsidRPr="00E74C8C">
              <w:rPr>
                <w:rFonts w:cstheme="minorHAnsi"/>
                <w:sz w:val="24"/>
                <w:szCs w:val="24"/>
              </w:rPr>
              <w:t>24</w:t>
            </w:r>
          </w:p>
        </w:tc>
        <w:tc>
          <w:tcPr>
            <w:tcW w:w="911" w:type="dxa"/>
          </w:tcPr>
          <w:p w14:paraId="2967819B" w14:textId="77777777" w:rsidR="00181B56" w:rsidRPr="00E74C8C" w:rsidRDefault="00181B56" w:rsidP="005D3C79">
            <w:pPr>
              <w:rPr>
                <w:rFonts w:cstheme="minorHAnsi"/>
                <w:sz w:val="24"/>
                <w:szCs w:val="24"/>
              </w:rPr>
            </w:pPr>
            <w:r w:rsidRPr="00E74C8C">
              <w:rPr>
                <w:rFonts w:cstheme="minorHAnsi"/>
                <w:sz w:val="24"/>
                <w:szCs w:val="24"/>
              </w:rPr>
              <w:t>25</w:t>
            </w:r>
          </w:p>
        </w:tc>
      </w:tr>
    </w:tbl>
    <w:p w14:paraId="7BE0E4E8" w14:textId="77777777" w:rsidR="00181B56" w:rsidRPr="00E74C8C" w:rsidRDefault="00181B56" w:rsidP="00181B56">
      <w:pPr>
        <w:rPr>
          <w:rFonts w:cstheme="minorHAnsi"/>
          <w:sz w:val="24"/>
          <w:szCs w:val="24"/>
        </w:rPr>
      </w:pPr>
    </w:p>
    <w:p w14:paraId="15D5CFC4" w14:textId="20EA579D" w:rsidR="005A4F05" w:rsidRPr="00E74C8C" w:rsidRDefault="005A4F05">
      <w:pPr>
        <w:rPr>
          <w:rFonts w:cstheme="minorHAnsi"/>
          <w:b/>
          <w:sz w:val="24"/>
          <w:szCs w:val="24"/>
        </w:rPr>
      </w:pPr>
      <w:r w:rsidRPr="00E74C8C">
        <w:rPr>
          <w:rFonts w:cstheme="minorHAnsi"/>
          <w:b/>
          <w:sz w:val="24"/>
          <w:szCs w:val="24"/>
        </w:rPr>
        <w:br w:type="page"/>
      </w:r>
      <w:bookmarkStart w:id="0" w:name="_GoBack"/>
      <w:bookmarkEnd w:id="0"/>
    </w:p>
    <w:p w14:paraId="524C0D66" w14:textId="50430252" w:rsidR="005A4F05" w:rsidRPr="00F72075" w:rsidRDefault="005A4F05" w:rsidP="00F72075">
      <w:pPr>
        <w:pStyle w:val="Heading1"/>
      </w:pPr>
      <w:r w:rsidRPr="00F72075">
        <w:lastRenderedPageBreak/>
        <w:t>Appendix B</w:t>
      </w:r>
    </w:p>
    <w:p w14:paraId="1ECDA9D8" w14:textId="77777777" w:rsidR="005A4F05" w:rsidRPr="007E5837" w:rsidRDefault="005A4F05" w:rsidP="007E5837">
      <w:pPr>
        <w:pStyle w:val="Heading2"/>
        <w:jc w:val="center"/>
        <w:rPr>
          <w:b/>
        </w:rPr>
      </w:pPr>
      <w:r w:rsidRPr="007E5837">
        <w:rPr>
          <w:b/>
        </w:rPr>
        <w:t>Risk Appetite Statement</w:t>
      </w:r>
    </w:p>
    <w:p w14:paraId="52F993DE" w14:textId="77777777" w:rsidR="005A4F05" w:rsidRPr="00E74C8C" w:rsidRDefault="005A4F05" w:rsidP="005A4F05">
      <w:pPr>
        <w:rPr>
          <w:rFonts w:cstheme="minorHAnsi"/>
          <w:sz w:val="24"/>
          <w:szCs w:val="24"/>
        </w:rPr>
      </w:pPr>
    </w:p>
    <w:p w14:paraId="4BAA81AA" w14:textId="664BE2AE" w:rsidR="005A4F05" w:rsidRPr="00E74C8C" w:rsidRDefault="005A4F05" w:rsidP="005A4F05">
      <w:pPr>
        <w:rPr>
          <w:rFonts w:cstheme="minorHAnsi"/>
          <w:sz w:val="24"/>
          <w:szCs w:val="24"/>
        </w:rPr>
      </w:pPr>
      <w:r w:rsidRPr="00E74C8C">
        <w:rPr>
          <w:rFonts w:cstheme="minorHAnsi"/>
          <w:sz w:val="24"/>
          <w:szCs w:val="24"/>
        </w:rPr>
        <w:t>The University’s approach to risk management is to minimise its exposure to compliance, regulation, and excessive financial risk, whilst accepting and encouraging a moderate level of risk in pursuit of its strategic objectives.  It recognises that its appetite for risk varies according to the activity undertaken.  Risks are accepted subject to a good understanding of the potential benefits and adverse impacts before proceeding.  Unacceptable risks are mitigated through control measures as required.  The University is operating in a challenging and competitive environment and within a rapidly changing regulatory framework.  In this context, the University recognises the need to accept a level of risk i</w:t>
      </w:r>
      <w:r w:rsidR="00DC70A3">
        <w:rPr>
          <w:rFonts w:cstheme="minorHAnsi"/>
          <w:sz w:val="24"/>
          <w:szCs w:val="24"/>
        </w:rPr>
        <w:t>n pursuing its strategic objectives</w:t>
      </w:r>
      <w:r w:rsidRPr="00E74C8C">
        <w:rPr>
          <w:rFonts w:cstheme="minorHAnsi"/>
          <w:sz w:val="24"/>
          <w:szCs w:val="24"/>
        </w:rPr>
        <w:t xml:space="preserve"> as overall the risk of not achieving these objectives would be greater in the long term.</w:t>
      </w:r>
    </w:p>
    <w:p w14:paraId="673D44AD" w14:textId="549FAE0B" w:rsidR="005A4F05" w:rsidRDefault="005A4F05" w:rsidP="005A4F05">
      <w:pPr>
        <w:rPr>
          <w:rFonts w:cstheme="minorHAnsi"/>
          <w:sz w:val="24"/>
          <w:szCs w:val="24"/>
        </w:rPr>
      </w:pPr>
    </w:p>
    <w:tbl>
      <w:tblPr>
        <w:tblStyle w:val="TableGrid"/>
        <w:tblW w:w="9209" w:type="dxa"/>
        <w:tblLook w:val="04A0" w:firstRow="1" w:lastRow="0" w:firstColumn="1" w:lastColumn="0" w:noHBand="0" w:noVBand="1"/>
        <w:tblCaption w:val="Potenal risk exposure areas"/>
        <w:tblDescription w:val="Table listing potential risk exposure areas and associated risk appetite statements."/>
      </w:tblPr>
      <w:tblGrid>
        <w:gridCol w:w="2547"/>
        <w:gridCol w:w="6662"/>
      </w:tblGrid>
      <w:tr w:rsidR="00D43AEF" w:rsidRPr="00D43AEF" w14:paraId="78DED635" w14:textId="77777777" w:rsidTr="00261893">
        <w:trPr>
          <w:tblHeader/>
        </w:trPr>
        <w:tc>
          <w:tcPr>
            <w:tcW w:w="2547" w:type="dxa"/>
          </w:tcPr>
          <w:p w14:paraId="5225B4F5" w14:textId="7EE0DE12" w:rsidR="00D43AEF" w:rsidRPr="00D43AEF" w:rsidRDefault="00DC70A3" w:rsidP="00DC70A3">
            <w:pPr>
              <w:rPr>
                <w:rFonts w:cstheme="minorHAnsi"/>
                <w:b/>
                <w:sz w:val="24"/>
                <w:szCs w:val="24"/>
              </w:rPr>
            </w:pPr>
            <w:r>
              <w:rPr>
                <w:rFonts w:cstheme="minorHAnsi"/>
                <w:b/>
                <w:sz w:val="24"/>
                <w:szCs w:val="24"/>
              </w:rPr>
              <w:t>Potential r</w:t>
            </w:r>
            <w:r w:rsidR="00261893">
              <w:rPr>
                <w:rFonts w:cstheme="minorHAnsi"/>
                <w:b/>
                <w:sz w:val="24"/>
                <w:szCs w:val="24"/>
              </w:rPr>
              <w:t>isk exposure area</w:t>
            </w:r>
          </w:p>
        </w:tc>
        <w:tc>
          <w:tcPr>
            <w:tcW w:w="6662" w:type="dxa"/>
          </w:tcPr>
          <w:p w14:paraId="0B9BF3A6" w14:textId="72F6624E" w:rsidR="00D43AEF" w:rsidRPr="00D43AEF" w:rsidRDefault="00D43AEF" w:rsidP="003A01AA">
            <w:pPr>
              <w:pStyle w:val="ListParagraph"/>
              <w:ind w:left="0"/>
              <w:rPr>
                <w:rFonts w:cstheme="minorHAnsi"/>
                <w:b/>
                <w:sz w:val="24"/>
                <w:szCs w:val="24"/>
              </w:rPr>
            </w:pPr>
            <w:r w:rsidRPr="00D43AEF">
              <w:rPr>
                <w:rFonts w:cstheme="minorHAnsi"/>
                <w:b/>
                <w:sz w:val="24"/>
                <w:szCs w:val="24"/>
              </w:rPr>
              <w:t>Risk appetite statement</w:t>
            </w:r>
          </w:p>
        </w:tc>
      </w:tr>
      <w:tr w:rsidR="005A4F05" w:rsidRPr="00E74C8C" w14:paraId="2FD80180" w14:textId="77777777" w:rsidTr="00261893">
        <w:trPr>
          <w:tblHeader/>
        </w:trPr>
        <w:tc>
          <w:tcPr>
            <w:tcW w:w="2547" w:type="dxa"/>
          </w:tcPr>
          <w:p w14:paraId="34808C98" w14:textId="77777777" w:rsidR="005A4F05" w:rsidRPr="00E74C8C" w:rsidRDefault="005A4F05" w:rsidP="003A01AA">
            <w:pPr>
              <w:rPr>
                <w:rFonts w:cstheme="minorHAnsi"/>
                <w:sz w:val="24"/>
                <w:szCs w:val="24"/>
              </w:rPr>
            </w:pPr>
            <w:r w:rsidRPr="00E74C8C">
              <w:rPr>
                <w:rFonts w:cstheme="minorHAnsi"/>
                <w:sz w:val="24"/>
                <w:szCs w:val="24"/>
              </w:rPr>
              <w:t>Compliance and regulation</w:t>
            </w:r>
          </w:p>
        </w:tc>
        <w:tc>
          <w:tcPr>
            <w:tcW w:w="6662" w:type="dxa"/>
          </w:tcPr>
          <w:p w14:paraId="429E84B3" w14:textId="77777777" w:rsidR="005A4F05" w:rsidRPr="00E74C8C" w:rsidRDefault="005A4F05" w:rsidP="003A01AA">
            <w:pPr>
              <w:pStyle w:val="ListParagraph"/>
              <w:ind w:left="0"/>
              <w:rPr>
                <w:rFonts w:cstheme="minorHAnsi"/>
                <w:sz w:val="24"/>
                <w:szCs w:val="24"/>
              </w:rPr>
            </w:pPr>
            <w:r w:rsidRPr="00E74C8C">
              <w:rPr>
                <w:rFonts w:cstheme="minorHAnsi"/>
                <w:sz w:val="24"/>
                <w:szCs w:val="24"/>
              </w:rPr>
              <w:t xml:space="preserve">The University places high importance on compliance and will not knowingly commit breaches in statute, regulation, professional standards, research, commercial contracts or ethics, bribery or fraud.  The University expects compliance with its policies and procedures by all staff, students and partnership organisations (including due diligence of prospective/proposed partnerships) for example: health &amp; safety, company, charities, employment law, </w:t>
            </w:r>
            <w:proofErr w:type="spellStart"/>
            <w:r w:rsidRPr="00E74C8C">
              <w:rPr>
                <w:rFonts w:cstheme="minorHAnsi"/>
                <w:sz w:val="24"/>
                <w:szCs w:val="24"/>
              </w:rPr>
              <w:t>OfSted</w:t>
            </w:r>
            <w:proofErr w:type="spellEnd"/>
            <w:r w:rsidRPr="00E74C8C">
              <w:rPr>
                <w:rFonts w:cstheme="minorHAnsi"/>
                <w:sz w:val="24"/>
                <w:szCs w:val="24"/>
              </w:rPr>
              <w:t xml:space="preserve">, </w:t>
            </w:r>
            <w:proofErr w:type="spellStart"/>
            <w:r w:rsidRPr="00E74C8C">
              <w:rPr>
                <w:rFonts w:cstheme="minorHAnsi"/>
                <w:sz w:val="24"/>
                <w:szCs w:val="24"/>
              </w:rPr>
              <w:t>OfS</w:t>
            </w:r>
            <w:proofErr w:type="spellEnd"/>
            <w:r w:rsidRPr="00E74C8C">
              <w:rPr>
                <w:rFonts w:cstheme="minorHAnsi"/>
                <w:sz w:val="24"/>
                <w:szCs w:val="24"/>
              </w:rPr>
              <w:t xml:space="preserve"> Regulatory Framework etc.</w:t>
            </w:r>
          </w:p>
          <w:p w14:paraId="5655ACEE" w14:textId="77777777" w:rsidR="005A4F05" w:rsidRPr="00E74C8C" w:rsidRDefault="005A4F05" w:rsidP="003A01AA">
            <w:pPr>
              <w:pStyle w:val="ListParagraph"/>
              <w:ind w:left="0"/>
              <w:rPr>
                <w:rFonts w:cstheme="minorHAnsi"/>
                <w:sz w:val="24"/>
                <w:szCs w:val="24"/>
              </w:rPr>
            </w:pPr>
          </w:p>
        </w:tc>
      </w:tr>
      <w:tr w:rsidR="005A4F05" w:rsidRPr="00E74C8C" w14:paraId="69F8FE76" w14:textId="77777777" w:rsidTr="00D43AEF">
        <w:tc>
          <w:tcPr>
            <w:tcW w:w="2547" w:type="dxa"/>
          </w:tcPr>
          <w:p w14:paraId="0CBE5994" w14:textId="77777777" w:rsidR="005A4F05" w:rsidRPr="00E74C8C" w:rsidRDefault="005A4F05" w:rsidP="003A01AA">
            <w:pPr>
              <w:rPr>
                <w:rFonts w:cstheme="minorHAnsi"/>
                <w:sz w:val="24"/>
                <w:szCs w:val="24"/>
              </w:rPr>
            </w:pPr>
            <w:r w:rsidRPr="00E74C8C">
              <w:rPr>
                <w:rFonts w:cstheme="minorHAnsi"/>
                <w:sz w:val="24"/>
                <w:szCs w:val="24"/>
              </w:rPr>
              <w:t>Financial performance and sustainability</w:t>
            </w:r>
          </w:p>
        </w:tc>
        <w:tc>
          <w:tcPr>
            <w:tcW w:w="6662" w:type="dxa"/>
          </w:tcPr>
          <w:p w14:paraId="7D7F4094" w14:textId="77777777" w:rsidR="005A4F05" w:rsidRPr="00E74C8C" w:rsidRDefault="005A4F05" w:rsidP="003A01AA">
            <w:pPr>
              <w:widowControl w:val="0"/>
              <w:rPr>
                <w:rFonts w:eastAsia="Calibri" w:cstheme="minorHAnsi"/>
                <w:sz w:val="24"/>
                <w:szCs w:val="24"/>
              </w:rPr>
            </w:pPr>
            <w:r w:rsidRPr="00E74C8C">
              <w:rPr>
                <w:rFonts w:eastAsia="Calibri" w:cstheme="minorHAnsi"/>
                <w:sz w:val="24"/>
                <w:szCs w:val="24"/>
              </w:rPr>
              <w:t xml:space="preserve">The University is committed to significant growth in recruitment across the portfolio to support institutional sustainability.  To support this </w:t>
            </w:r>
            <w:proofErr w:type="gramStart"/>
            <w:r w:rsidRPr="00E74C8C">
              <w:rPr>
                <w:rFonts w:eastAsia="Calibri" w:cstheme="minorHAnsi"/>
                <w:sz w:val="24"/>
                <w:szCs w:val="24"/>
              </w:rPr>
              <w:t>growth</w:t>
            </w:r>
            <w:proofErr w:type="gramEnd"/>
            <w:r w:rsidRPr="00E74C8C">
              <w:rPr>
                <w:rFonts w:eastAsia="Calibri" w:cstheme="minorHAnsi"/>
                <w:sz w:val="24"/>
                <w:szCs w:val="24"/>
              </w:rPr>
              <w:t xml:space="preserve"> the University has a moderate level of risk in developing well managed new initiatives.  More generally, the risk appetite overall for borrowing and investment outside of tightly defined parameters is low.</w:t>
            </w:r>
          </w:p>
          <w:p w14:paraId="15DD685A" w14:textId="77777777" w:rsidR="005A4F05" w:rsidRPr="00E74C8C" w:rsidRDefault="005A4F05" w:rsidP="003A01AA">
            <w:pPr>
              <w:rPr>
                <w:rFonts w:cstheme="minorHAnsi"/>
                <w:sz w:val="24"/>
                <w:szCs w:val="24"/>
              </w:rPr>
            </w:pPr>
          </w:p>
        </w:tc>
      </w:tr>
      <w:tr w:rsidR="005A4F05" w:rsidRPr="00E74C8C" w14:paraId="38B7499E" w14:textId="77777777" w:rsidTr="00D43AEF">
        <w:tc>
          <w:tcPr>
            <w:tcW w:w="2547" w:type="dxa"/>
          </w:tcPr>
          <w:p w14:paraId="1046F6CC" w14:textId="77777777" w:rsidR="005A4F05" w:rsidRPr="00E74C8C" w:rsidRDefault="005A4F05" w:rsidP="003A01AA">
            <w:pPr>
              <w:rPr>
                <w:rFonts w:cstheme="minorHAnsi"/>
                <w:sz w:val="24"/>
                <w:szCs w:val="24"/>
              </w:rPr>
            </w:pPr>
            <w:r w:rsidRPr="00E74C8C">
              <w:rPr>
                <w:rFonts w:cstheme="minorHAnsi"/>
                <w:sz w:val="24"/>
                <w:szCs w:val="24"/>
              </w:rPr>
              <w:t>Teaching and Learning</w:t>
            </w:r>
          </w:p>
        </w:tc>
        <w:tc>
          <w:tcPr>
            <w:tcW w:w="6662" w:type="dxa"/>
          </w:tcPr>
          <w:p w14:paraId="0D76A23D" w14:textId="7A021003" w:rsidR="005A4F05" w:rsidRPr="00E74C8C" w:rsidRDefault="005A4F05" w:rsidP="003A01AA">
            <w:pPr>
              <w:widowControl w:val="0"/>
              <w:rPr>
                <w:rFonts w:eastAsia="Calibri" w:cstheme="minorHAnsi"/>
                <w:sz w:val="24"/>
                <w:szCs w:val="24"/>
              </w:rPr>
            </w:pPr>
            <w:r w:rsidRPr="00E74C8C">
              <w:rPr>
                <w:rFonts w:eastAsia="Calibri" w:cstheme="minorHAnsi"/>
                <w:sz w:val="24"/>
                <w:szCs w:val="24"/>
              </w:rPr>
              <w:t>A strong teaching and learning offering to improve the outcomes and life opportunities for Newman students is at the heart of University’s mission and as a small, student-centred University, a strong student experience is a key driver.  Improvements in outcomes and retention are essential to the University, in terms of our duty to our students, our reputation and the financial impact.  As a consequence</w:t>
            </w:r>
            <w:r w:rsidR="00B430C4">
              <w:rPr>
                <w:rFonts w:eastAsia="Calibri" w:cstheme="minorHAnsi"/>
                <w:sz w:val="24"/>
                <w:szCs w:val="24"/>
              </w:rPr>
              <w:t>,</w:t>
            </w:r>
            <w:r w:rsidRPr="00E74C8C">
              <w:rPr>
                <w:rFonts w:eastAsia="Calibri" w:cstheme="minorHAnsi"/>
                <w:sz w:val="24"/>
                <w:szCs w:val="24"/>
              </w:rPr>
              <w:t xml:space="preserve"> the University’s risk appetite for activities that may negatively impact on student outcomes or experience is low.</w:t>
            </w:r>
          </w:p>
          <w:p w14:paraId="1B3AC57F" w14:textId="77777777" w:rsidR="005A4F05" w:rsidRPr="00E74C8C" w:rsidRDefault="005A4F05" w:rsidP="003A01AA">
            <w:pPr>
              <w:widowControl w:val="0"/>
              <w:rPr>
                <w:rFonts w:eastAsia="Calibri" w:cstheme="minorHAnsi"/>
                <w:sz w:val="24"/>
                <w:szCs w:val="24"/>
              </w:rPr>
            </w:pPr>
          </w:p>
        </w:tc>
      </w:tr>
      <w:tr w:rsidR="005A4F05" w:rsidRPr="00E74C8C" w14:paraId="3ECB5F1D" w14:textId="77777777" w:rsidTr="00D43AEF">
        <w:tc>
          <w:tcPr>
            <w:tcW w:w="2547" w:type="dxa"/>
          </w:tcPr>
          <w:p w14:paraId="6A8FF9E1" w14:textId="77777777" w:rsidR="005A4F05" w:rsidRPr="00E74C8C" w:rsidRDefault="005A4F05" w:rsidP="003A01AA">
            <w:pPr>
              <w:rPr>
                <w:rFonts w:cstheme="minorHAnsi"/>
                <w:sz w:val="24"/>
                <w:szCs w:val="24"/>
              </w:rPr>
            </w:pPr>
            <w:r w:rsidRPr="00E74C8C">
              <w:rPr>
                <w:rFonts w:cstheme="minorHAnsi"/>
                <w:sz w:val="24"/>
                <w:szCs w:val="24"/>
              </w:rPr>
              <w:t>People</w:t>
            </w:r>
          </w:p>
        </w:tc>
        <w:tc>
          <w:tcPr>
            <w:tcW w:w="6662" w:type="dxa"/>
          </w:tcPr>
          <w:p w14:paraId="30721185" w14:textId="77777777" w:rsidR="005A4F05" w:rsidRPr="00E74C8C" w:rsidRDefault="005A4F05" w:rsidP="003A01AA">
            <w:pPr>
              <w:widowControl w:val="0"/>
              <w:ind w:right="16"/>
              <w:rPr>
                <w:rFonts w:eastAsia="Calibri" w:cstheme="minorHAnsi"/>
                <w:sz w:val="24"/>
                <w:szCs w:val="24"/>
              </w:rPr>
            </w:pPr>
            <w:r w:rsidRPr="00E74C8C">
              <w:rPr>
                <w:rFonts w:eastAsia="Calibri" w:cstheme="minorHAnsi"/>
                <w:sz w:val="24"/>
                <w:szCs w:val="24"/>
              </w:rPr>
              <w:t>People are the most Newman’s most important asset and the University depends on its staff to deliver the 2025 Strategy. It wishes to create a stimulating and inclusive working environment in which people from different areas of expertise and backgrounds are supported and encouraged to work together to deliver the University’s strategic objectives. The University recognises that staff will need to adopt different priorities and ways of working and has a moderate appetite for risk in order to achieve this change towards a more strategically-aligned performance culture.</w:t>
            </w:r>
          </w:p>
          <w:p w14:paraId="2316DA8F" w14:textId="77777777" w:rsidR="005A4F05" w:rsidRPr="00E74C8C" w:rsidRDefault="005A4F05" w:rsidP="003A01AA">
            <w:pPr>
              <w:widowControl w:val="0"/>
              <w:rPr>
                <w:rFonts w:eastAsia="Calibri" w:cstheme="minorHAnsi"/>
                <w:sz w:val="24"/>
                <w:szCs w:val="24"/>
              </w:rPr>
            </w:pPr>
          </w:p>
        </w:tc>
      </w:tr>
    </w:tbl>
    <w:p w14:paraId="592FEE16" w14:textId="77777777" w:rsidR="000C3291" w:rsidRPr="00E74C8C" w:rsidRDefault="000C3291" w:rsidP="00836337">
      <w:pPr>
        <w:rPr>
          <w:rFonts w:cstheme="minorHAnsi"/>
          <w:b/>
          <w:sz w:val="24"/>
          <w:szCs w:val="24"/>
        </w:rPr>
      </w:pPr>
    </w:p>
    <w:sectPr w:rsidR="000C3291" w:rsidRPr="00E74C8C" w:rsidSect="00836337">
      <w:foot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14949" w14:textId="77777777" w:rsidR="00521296" w:rsidRDefault="00521296" w:rsidP="00324CFE">
      <w:pPr>
        <w:spacing w:after="0" w:line="240" w:lineRule="auto"/>
      </w:pPr>
      <w:r>
        <w:separator/>
      </w:r>
    </w:p>
  </w:endnote>
  <w:endnote w:type="continuationSeparator" w:id="0">
    <w:p w14:paraId="5EC2D09F" w14:textId="77777777" w:rsidR="00521296" w:rsidRDefault="00521296" w:rsidP="0032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1591D" w14:textId="55097598" w:rsidR="00110D35" w:rsidRPr="00110D35" w:rsidRDefault="00110D35">
    <w:pPr>
      <w:pStyle w:val="Footer"/>
      <w:rPr>
        <w:sz w:val="20"/>
        <w:szCs w:val="20"/>
      </w:rPr>
    </w:pPr>
    <w:r w:rsidRPr="00110D35">
      <w:rPr>
        <w:sz w:val="20"/>
        <w:szCs w:val="20"/>
      </w:rPr>
      <w:t>Risk Management Policy</w:t>
    </w:r>
  </w:p>
  <w:p w14:paraId="7C80445C" w14:textId="4ADD48BB" w:rsidR="00110D35" w:rsidRPr="00110D35" w:rsidRDefault="00110D35">
    <w:pPr>
      <w:pStyle w:val="Footer"/>
      <w:rPr>
        <w:sz w:val="20"/>
        <w:szCs w:val="20"/>
      </w:rPr>
    </w:pPr>
    <w:r w:rsidRPr="00110D35">
      <w:rPr>
        <w:sz w:val="20"/>
        <w:szCs w:val="20"/>
      </w:rPr>
      <w:t>Approved by University Council –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DE4B5" w14:textId="77777777" w:rsidR="00521296" w:rsidRDefault="00521296" w:rsidP="00324CFE">
      <w:pPr>
        <w:spacing w:after="0" w:line="240" w:lineRule="auto"/>
      </w:pPr>
      <w:r>
        <w:separator/>
      </w:r>
    </w:p>
  </w:footnote>
  <w:footnote w:type="continuationSeparator" w:id="0">
    <w:p w14:paraId="2511F5E7" w14:textId="77777777" w:rsidR="00521296" w:rsidRDefault="00521296" w:rsidP="00324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CC0"/>
    <w:multiLevelType w:val="hybridMultilevel"/>
    <w:tmpl w:val="446C7368"/>
    <w:lvl w:ilvl="0" w:tplc="94F8527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F1EED"/>
    <w:multiLevelType w:val="hybridMultilevel"/>
    <w:tmpl w:val="596C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16462"/>
    <w:multiLevelType w:val="multilevel"/>
    <w:tmpl w:val="5BD452E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2E26134"/>
    <w:multiLevelType w:val="hybridMultilevel"/>
    <w:tmpl w:val="D226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117D8"/>
    <w:multiLevelType w:val="hybridMultilevel"/>
    <w:tmpl w:val="BF40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23356"/>
    <w:multiLevelType w:val="hybridMultilevel"/>
    <w:tmpl w:val="4F34D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BE6E49"/>
    <w:multiLevelType w:val="hybridMultilevel"/>
    <w:tmpl w:val="6BD2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B58F3"/>
    <w:multiLevelType w:val="hybridMultilevel"/>
    <w:tmpl w:val="61987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20FC4"/>
    <w:multiLevelType w:val="hybridMultilevel"/>
    <w:tmpl w:val="B83C74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7424F29"/>
    <w:multiLevelType w:val="hybridMultilevel"/>
    <w:tmpl w:val="3DDEDD08"/>
    <w:lvl w:ilvl="0" w:tplc="012AF80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B435D09"/>
    <w:multiLevelType w:val="hybridMultilevel"/>
    <w:tmpl w:val="D680A4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C514B51"/>
    <w:multiLevelType w:val="hybridMultilevel"/>
    <w:tmpl w:val="01824D56"/>
    <w:lvl w:ilvl="0" w:tplc="09CE606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0347626"/>
    <w:multiLevelType w:val="hybridMultilevel"/>
    <w:tmpl w:val="E09E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C11EEC"/>
    <w:multiLevelType w:val="hybridMultilevel"/>
    <w:tmpl w:val="03BCA9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06369E"/>
    <w:multiLevelType w:val="multilevel"/>
    <w:tmpl w:val="68B0B96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56C7C66"/>
    <w:multiLevelType w:val="hybridMultilevel"/>
    <w:tmpl w:val="613C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6"/>
  </w:num>
  <w:num w:numId="5">
    <w:abstractNumId w:val="4"/>
  </w:num>
  <w:num w:numId="6">
    <w:abstractNumId w:val="15"/>
  </w:num>
  <w:num w:numId="7">
    <w:abstractNumId w:val="1"/>
  </w:num>
  <w:num w:numId="8">
    <w:abstractNumId w:val="3"/>
  </w:num>
  <w:num w:numId="9">
    <w:abstractNumId w:val="2"/>
  </w:num>
  <w:num w:numId="10">
    <w:abstractNumId w:val="9"/>
  </w:num>
  <w:num w:numId="11">
    <w:abstractNumId w:val="11"/>
  </w:num>
  <w:num w:numId="12">
    <w:abstractNumId w:val="8"/>
  </w:num>
  <w:num w:numId="13">
    <w:abstractNumId w:val="7"/>
  </w:num>
  <w:num w:numId="14">
    <w:abstractNumId w:val="14"/>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B8"/>
    <w:rsid w:val="00001E6A"/>
    <w:rsid w:val="00007D8C"/>
    <w:rsid w:val="000410BD"/>
    <w:rsid w:val="000C3291"/>
    <w:rsid w:val="001042E4"/>
    <w:rsid w:val="00110D35"/>
    <w:rsid w:val="0013520A"/>
    <w:rsid w:val="00181B56"/>
    <w:rsid w:val="001B62FA"/>
    <w:rsid w:val="001E62F4"/>
    <w:rsid w:val="001F69CF"/>
    <w:rsid w:val="00261893"/>
    <w:rsid w:val="002D7F33"/>
    <w:rsid w:val="002F1132"/>
    <w:rsid w:val="002F734D"/>
    <w:rsid w:val="00324CFE"/>
    <w:rsid w:val="003B6CFD"/>
    <w:rsid w:val="003D7B3F"/>
    <w:rsid w:val="00433980"/>
    <w:rsid w:val="00483D4B"/>
    <w:rsid w:val="004956E7"/>
    <w:rsid w:val="004F091F"/>
    <w:rsid w:val="00512A2C"/>
    <w:rsid w:val="00521296"/>
    <w:rsid w:val="00523C38"/>
    <w:rsid w:val="00547BE1"/>
    <w:rsid w:val="005A4F05"/>
    <w:rsid w:val="006419A9"/>
    <w:rsid w:val="00687FFB"/>
    <w:rsid w:val="007128A5"/>
    <w:rsid w:val="007A7524"/>
    <w:rsid w:val="007E5837"/>
    <w:rsid w:val="00834CE6"/>
    <w:rsid w:val="00836337"/>
    <w:rsid w:val="00857737"/>
    <w:rsid w:val="00857952"/>
    <w:rsid w:val="00886A3B"/>
    <w:rsid w:val="008E17A3"/>
    <w:rsid w:val="00957B20"/>
    <w:rsid w:val="00AB29BB"/>
    <w:rsid w:val="00AF0CE7"/>
    <w:rsid w:val="00B4156F"/>
    <w:rsid w:val="00B430C4"/>
    <w:rsid w:val="00BE639D"/>
    <w:rsid w:val="00C17293"/>
    <w:rsid w:val="00C243B7"/>
    <w:rsid w:val="00C31375"/>
    <w:rsid w:val="00C756FB"/>
    <w:rsid w:val="00C91F28"/>
    <w:rsid w:val="00CF57A5"/>
    <w:rsid w:val="00D137B8"/>
    <w:rsid w:val="00D43AEF"/>
    <w:rsid w:val="00D60937"/>
    <w:rsid w:val="00D7130D"/>
    <w:rsid w:val="00DA46E3"/>
    <w:rsid w:val="00DC26C9"/>
    <w:rsid w:val="00DC3026"/>
    <w:rsid w:val="00DC4E68"/>
    <w:rsid w:val="00DC70A3"/>
    <w:rsid w:val="00DD0306"/>
    <w:rsid w:val="00E74C8C"/>
    <w:rsid w:val="00E870E1"/>
    <w:rsid w:val="00EA57C2"/>
    <w:rsid w:val="00EE66D3"/>
    <w:rsid w:val="00F40CB0"/>
    <w:rsid w:val="00F567C3"/>
    <w:rsid w:val="00F72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8F12DF"/>
  <w15:chartTrackingRefBased/>
  <w15:docId w15:val="{0196BEA9-5FCA-41BD-9FF8-45FA909C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4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4C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20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720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B8"/>
    <w:pPr>
      <w:ind w:left="720"/>
      <w:contextualSpacing/>
    </w:pPr>
  </w:style>
  <w:style w:type="character" w:styleId="CommentReference">
    <w:name w:val="annotation reference"/>
    <w:basedOn w:val="DefaultParagraphFont"/>
    <w:uiPriority w:val="99"/>
    <w:semiHidden/>
    <w:unhideWhenUsed/>
    <w:rsid w:val="00D7130D"/>
    <w:rPr>
      <w:sz w:val="16"/>
      <w:szCs w:val="16"/>
    </w:rPr>
  </w:style>
  <w:style w:type="paragraph" w:styleId="CommentText">
    <w:name w:val="annotation text"/>
    <w:basedOn w:val="Normal"/>
    <w:link w:val="CommentTextChar"/>
    <w:uiPriority w:val="99"/>
    <w:semiHidden/>
    <w:unhideWhenUsed/>
    <w:rsid w:val="00D7130D"/>
    <w:pPr>
      <w:spacing w:line="240" w:lineRule="auto"/>
    </w:pPr>
    <w:rPr>
      <w:sz w:val="20"/>
      <w:szCs w:val="20"/>
    </w:rPr>
  </w:style>
  <w:style w:type="character" w:customStyle="1" w:styleId="CommentTextChar">
    <w:name w:val="Comment Text Char"/>
    <w:basedOn w:val="DefaultParagraphFont"/>
    <w:link w:val="CommentText"/>
    <w:uiPriority w:val="99"/>
    <w:semiHidden/>
    <w:rsid w:val="00D7130D"/>
    <w:rPr>
      <w:sz w:val="20"/>
      <w:szCs w:val="20"/>
    </w:rPr>
  </w:style>
  <w:style w:type="paragraph" w:styleId="CommentSubject">
    <w:name w:val="annotation subject"/>
    <w:basedOn w:val="CommentText"/>
    <w:next w:val="CommentText"/>
    <w:link w:val="CommentSubjectChar"/>
    <w:uiPriority w:val="99"/>
    <w:semiHidden/>
    <w:unhideWhenUsed/>
    <w:rsid w:val="00D7130D"/>
    <w:rPr>
      <w:b/>
      <w:bCs/>
    </w:rPr>
  </w:style>
  <w:style w:type="character" w:customStyle="1" w:styleId="CommentSubjectChar">
    <w:name w:val="Comment Subject Char"/>
    <w:basedOn w:val="CommentTextChar"/>
    <w:link w:val="CommentSubject"/>
    <w:uiPriority w:val="99"/>
    <w:semiHidden/>
    <w:rsid w:val="00D7130D"/>
    <w:rPr>
      <w:b/>
      <w:bCs/>
      <w:sz w:val="20"/>
      <w:szCs w:val="20"/>
    </w:rPr>
  </w:style>
  <w:style w:type="paragraph" w:styleId="BalloonText">
    <w:name w:val="Balloon Text"/>
    <w:basedOn w:val="Normal"/>
    <w:link w:val="BalloonTextChar"/>
    <w:uiPriority w:val="99"/>
    <w:semiHidden/>
    <w:unhideWhenUsed/>
    <w:rsid w:val="00D71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30D"/>
    <w:rPr>
      <w:rFonts w:ascii="Segoe UI" w:hAnsi="Segoe UI" w:cs="Segoe UI"/>
      <w:sz w:val="18"/>
      <w:szCs w:val="18"/>
    </w:rPr>
  </w:style>
  <w:style w:type="paragraph" w:styleId="Header">
    <w:name w:val="header"/>
    <w:basedOn w:val="Normal"/>
    <w:link w:val="HeaderChar"/>
    <w:uiPriority w:val="99"/>
    <w:unhideWhenUsed/>
    <w:rsid w:val="00324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CFE"/>
  </w:style>
  <w:style w:type="paragraph" w:styleId="Footer">
    <w:name w:val="footer"/>
    <w:basedOn w:val="Normal"/>
    <w:link w:val="FooterChar"/>
    <w:uiPriority w:val="99"/>
    <w:unhideWhenUsed/>
    <w:rsid w:val="00324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CFE"/>
  </w:style>
  <w:style w:type="table" w:styleId="TableGrid">
    <w:name w:val="Table Grid"/>
    <w:basedOn w:val="TableNormal"/>
    <w:uiPriority w:val="39"/>
    <w:rsid w:val="00181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29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29BB"/>
    <w:rPr>
      <w:b/>
      <w:bCs/>
    </w:rPr>
  </w:style>
  <w:style w:type="character" w:customStyle="1" w:styleId="Heading1Char">
    <w:name w:val="Heading 1 Char"/>
    <w:basedOn w:val="DefaultParagraphFont"/>
    <w:link w:val="Heading1"/>
    <w:uiPriority w:val="9"/>
    <w:rsid w:val="00E74C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4C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207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7207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6647">
      <w:bodyDiv w:val="1"/>
      <w:marLeft w:val="0"/>
      <w:marRight w:val="0"/>
      <w:marTop w:val="0"/>
      <w:marBottom w:val="0"/>
      <w:divBdr>
        <w:top w:val="none" w:sz="0" w:space="0" w:color="auto"/>
        <w:left w:val="none" w:sz="0" w:space="0" w:color="auto"/>
        <w:bottom w:val="none" w:sz="0" w:space="0" w:color="auto"/>
        <w:right w:val="none" w:sz="0" w:space="0" w:color="auto"/>
      </w:divBdr>
    </w:div>
    <w:div w:id="16138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2258</Words>
  <Characters>12876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lLuArA</dc:creator>
  <cp:keywords/>
  <dc:description/>
  <cp:lastModifiedBy>Siobhan Wheeler</cp:lastModifiedBy>
  <cp:revision>2</cp:revision>
  <cp:lastPrinted>2021-09-10T08:34:00Z</cp:lastPrinted>
  <dcterms:created xsi:type="dcterms:W3CDTF">2021-09-13T10:05:00Z</dcterms:created>
  <dcterms:modified xsi:type="dcterms:W3CDTF">2021-09-13T10:05:00Z</dcterms:modified>
</cp:coreProperties>
</file>