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49EF3" w14:textId="77777777" w:rsidR="00B854B8" w:rsidRPr="00E61C18" w:rsidRDefault="00B854B8">
      <w:pPr>
        <w:rPr>
          <w:rFonts w:ascii="Tahoma" w:hAnsi="Tahoma" w:cs="Tahoma"/>
          <w:lang w:eastAsia="en-GB"/>
        </w:rPr>
      </w:pPr>
      <w:r w:rsidRPr="00E61C18">
        <w:rPr>
          <w:rFonts w:ascii="Tahoma" w:hAnsi="Tahoma" w:cs="Tahoma"/>
          <w:noProof/>
          <w:lang w:eastAsia="en-GB"/>
        </w:rPr>
        <w:drawing>
          <wp:inline distT="0" distB="0" distL="0" distR="0" wp14:anchorId="1709B945" wp14:editId="6B15478F">
            <wp:extent cx="1945640" cy="638175"/>
            <wp:effectExtent l="0" t="0" r="0" b="9525"/>
            <wp:docPr id="1" name="Picture 1" descr="Newma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ercury\staff\DAVI461\Desktop\New Newman University Crest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2B068" w14:textId="77777777" w:rsidR="00B854B8" w:rsidRPr="00E61C18" w:rsidRDefault="005D78B8" w:rsidP="00B854B8">
      <w:pPr>
        <w:jc w:val="center"/>
        <w:rPr>
          <w:rFonts w:ascii="Tahoma" w:hAnsi="Tahoma" w:cs="Tahoma"/>
          <w:b/>
          <w:lang w:eastAsia="en-GB"/>
        </w:rPr>
      </w:pPr>
      <w:proofErr w:type="spellStart"/>
      <w:r w:rsidRPr="00E61C18">
        <w:rPr>
          <w:rFonts w:ascii="Tahoma" w:hAnsi="Tahoma" w:cs="Tahoma"/>
          <w:b/>
          <w:lang w:eastAsia="en-GB"/>
        </w:rPr>
        <w:t>IT</w:t>
      </w:r>
      <w:r w:rsidR="000D2954">
        <w:rPr>
          <w:rFonts w:ascii="Tahoma" w:hAnsi="Tahoma" w:cs="Tahoma"/>
          <w:b/>
          <w:lang w:eastAsia="en-GB"/>
        </w:rPr>
        <w:t>T</w:t>
      </w:r>
      <w:r w:rsidRPr="00E61C18">
        <w:rPr>
          <w:rFonts w:ascii="Tahoma" w:hAnsi="Tahoma" w:cs="Tahoma"/>
          <w:b/>
          <w:lang w:eastAsia="en-GB"/>
        </w:rPr>
        <w:t>E</w:t>
      </w:r>
      <w:proofErr w:type="spellEnd"/>
      <w:r w:rsidRPr="00E61C18">
        <w:rPr>
          <w:rFonts w:ascii="Tahoma" w:hAnsi="Tahoma" w:cs="Tahoma"/>
          <w:b/>
          <w:lang w:eastAsia="en-GB"/>
        </w:rPr>
        <w:t xml:space="preserve"> </w:t>
      </w:r>
      <w:r w:rsidR="000D2954">
        <w:rPr>
          <w:rFonts w:ascii="Tahoma" w:hAnsi="Tahoma" w:cs="Tahoma"/>
          <w:b/>
          <w:lang w:eastAsia="en-GB"/>
        </w:rPr>
        <w:t xml:space="preserve">Quality Assurance and </w:t>
      </w:r>
      <w:r w:rsidR="00E61C18" w:rsidRPr="00E61C18">
        <w:rPr>
          <w:rFonts w:ascii="Tahoma" w:hAnsi="Tahoma" w:cs="Tahoma"/>
          <w:b/>
          <w:lang w:eastAsia="en-GB"/>
        </w:rPr>
        <w:t>Compliance</w:t>
      </w:r>
      <w:r w:rsidRPr="00E61C18">
        <w:rPr>
          <w:rFonts w:ascii="Tahoma" w:hAnsi="Tahoma" w:cs="Tahoma"/>
          <w:b/>
          <w:lang w:eastAsia="en-GB"/>
        </w:rPr>
        <w:t xml:space="preserve"> </w:t>
      </w:r>
      <w:r w:rsidR="00BC71D5" w:rsidRPr="00E61C18">
        <w:rPr>
          <w:rFonts w:ascii="Tahoma" w:hAnsi="Tahoma" w:cs="Tahoma"/>
          <w:b/>
          <w:lang w:eastAsia="en-GB"/>
        </w:rPr>
        <w:t>Task Group</w:t>
      </w:r>
      <w:r w:rsidR="0061307C">
        <w:rPr>
          <w:rFonts w:ascii="Tahoma" w:hAnsi="Tahoma" w:cs="Tahoma"/>
          <w:b/>
          <w:lang w:eastAsia="en-GB"/>
        </w:rPr>
        <w:t xml:space="preserve"> (2021/22)</w:t>
      </w:r>
    </w:p>
    <w:p w14:paraId="004687B6" w14:textId="77777777" w:rsidR="00897BF6" w:rsidRDefault="00897BF6" w:rsidP="005F4DCF">
      <w:pPr>
        <w:rPr>
          <w:rFonts w:ascii="Tahoma" w:hAnsi="Tahoma" w:cs="Tahoma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A671B55" wp14:editId="50905263">
                <wp:extent cx="5763895" cy="1403985"/>
                <wp:effectExtent l="19050" t="19050" r="27305" b="1905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4039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DA64B" w14:textId="77777777" w:rsidR="00897BF6" w:rsidRPr="003C55C2" w:rsidRDefault="00897BF6" w:rsidP="00897BF6">
                            <w:pPr>
                              <w:rPr>
                                <w:rFonts w:eastAsiaTheme="minorEastAsia"/>
                                <w:b/>
                                <w:noProof/>
                                <w:lang w:eastAsia="en-GB"/>
                              </w:rPr>
                            </w:pPr>
                            <w:r w:rsidRPr="003C55C2">
                              <w:rPr>
                                <w:b/>
                              </w:rPr>
                              <w:t xml:space="preserve">The University’s Committee Structure aims to put the University in a position of strength to deliver the evidence base that will enable us to engage with the </w:t>
                            </w:r>
                            <w:proofErr w:type="spellStart"/>
                            <w:r w:rsidRPr="003C55C2">
                              <w:rPr>
                                <w:b/>
                              </w:rPr>
                              <w:t>OfS</w:t>
                            </w:r>
                            <w:proofErr w:type="spellEnd"/>
                            <w:r w:rsidRPr="003C55C2">
                              <w:rPr>
                                <w:b/>
                              </w:rPr>
                              <w:t xml:space="preserve"> and its conditions of registration:</w:t>
                            </w:r>
                            <w:r w:rsidR="00F87540">
                              <w:rPr>
                                <w:b/>
                              </w:rPr>
                              <w:t xml:space="preserve"> </w:t>
                            </w:r>
                            <w:hyperlink r:id="rId9" w:history="1">
                              <w:r w:rsidR="00F87540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https://www.officeforstudents.org.uk/advice-and-guidance/regulation/registration-with-the-ofs-a-guide/conditions-of-registration/</w:t>
                              </w:r>
                            </w:hyperlink>
                          </w:p>
                          <w:p w14:paraId="09715D25" w14:textId="77777777" w:rsidR="00897BF6" w:rsidRPr="003A2F4F" w:rsidRDefault="00897BF6" w:rsidP="00897BF6">
                            <w:pPr>
                              <w:rPr>
                                <w:b/>
                              </w:rPr>
                            </w:pPr>
                            <w:r w:rsidRPr="003C55C2">
                              <w:rPr>
                                <w:b/>
                              </w:rPr>
                              <w:t>Individual Committees are expected to utilise a range of indicators, quantitative and qualitative intelligence and horizon scanning tha</w:t>
                            </w:r>
                            <w:r w:rsidR="002344D1">
                              <w:rPr>
                                <w:b/>
                              </w:rPr>
                              <w:t>t will enable them to monitor</w:t>
                            </w:r>
                            <w:r w:rsidRPr="003C55C2">
                              <w:rPr>
                                <w:b/>
                              </w:rPr>
                              <w:t xml:space="preserve"> and review trends and spot (early on) any issues that m</w:t>
                            </w:r>
                            <w:r w:rsidR="002344D1">
                              <w:rPr>
                                <w:b/>
                              </w:rPr>
                              <w:t>a</w:t>
                            </w:r>
                            <w:r w:rsidRPr="003C55C2">
                              <w:rPr>
                                <w:b/>
                              </w:rPr>
                              <w:t xml:space="preserve">y affect compliance.  In doing so, they are empowered to </w:t>
                            </w:r>
                            <w:r>
                              <w:rPr>
                                <w:b/>
                              </w:rPr>
                              <w:t xml:space="preserve">drive and </w:t>
                            </w:r>
                            <w:r w:rsidR="003A2F4F">
                              <w:rPr>
                                <w:b/>
                              </w:rPr>
                              <w:t>effect changes accordingly.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71B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85pt;height:11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" fillcolor="#ffc000" strokecolor="black [3200]" strokeweight="2.25pt">
                <v:textbox style="mso-fit-shape-to-text:t">
                  <w:txbxContent>
                    <w:p w14:paraId="41CDA64B" w14:textId="77777777" w:rsidR="00897BF6" w:rsidRPr="003C55C2" w:rsidRDefault="00897BF6" w:rsidP="00897BF6">
                      <w:pPr>
                        <w:rPr>
                          <w:rFonts w:eastAsiaTheme="minorEastAsia"/>
                          <w:b/>
                          <w:noProof/>
                          <w:lang w:eastAsia="en-GB"/>
                        </w:rPr>
                      </w:pPr>
                      <w:r w:rsidRPr="003C55C2">
                        <w:rPr>
                          <w:b/>
                        </w:rPr>
                        <w:t xml:space="preserve">The University’s Committee Structure aims to put the University in a position of strength to deliver the evidence base that will enable us to engage with the </w:t>
                      </w:r>
                      <w:proofErr w:type="spellStart"/>
                      <w:r w:rsidRPr="003C55C2">
                        <w:rPr>
                          <w:b/>
                        </w:rPr>
                        <w:t>OfS</w:t>
                      </w:r>
                      <w:proofErr w:type="spellEnd"/>
                      <w:r w:rsidRPr="003C55C2">
                        <w:rPr>
                          <w:b/>
                        </w:rPr>
                        <w:t xml:space="preserve"> and its conditions of registration:</w:t>
                      </w:r>
                      <w:r w:rsidR="00F87540">
                        <w:rPr>
                          <w:b/>
                        </w:rPr>
                        <w:t xml:space="preserve"> </w:t>
                      </w:r>
                      <w:hyperlink r:id="rId10" w:history="1">
                        <w:r w:rsidR="00F87540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https://www.officeforstudents.org.uk/advice-and-guidance/regulation/registration-with-the-ofs-a-guide/conditions-of-registration/</w:t>
                        </w:r>
                      </w:hyperlink>
                    </w:p>
                    <w:p w14:paraId="09715D25" w14:textId="77777777" w:rsidR="00897BF6" w:rsidRPr="003A2F4F" w:rsidRDefault="00897BF6" w:rsidP="00897BF6">
                      <w:pPr>
                        <w:rPr>
                          <w:b/>
                        </w:rPr>
                      </w:pPr>
                      <w:r w:rsidRPr="003C55C2">
                        <w:rPr>
                          <w:b/>
                        </w:rPr>
                        <w:t>Individual Committees are expected to utilise a range of indicators, quantitative and qualitative intelligence and horizon scanning tha</w:t>
                      </w:r>
                      <w:r w:rsidR="002344D1">
                        <w:rPr>
                          <w:b/>
                        </w:rPr>
                        <w:t>t will enable them to monitor</w:t>
                      </w:r>
                      <w:r w:rsidRPr="003C55C2">
                        <w:rPr>
                          <w:b/>
                        </w:rPr>
                        <w:t xml:space="preserve"> and review trends and spot (early on) any issues that m</w:t>
                      </w:r>
                      <w:r w:rsidR="002344D1">
                        <w:rPr>
                          <w:b/>
                        </w:rPr>
                        <w:t>a</w:t>
                      </w:r>
                      <w:r w:rsidRPr="003C55C2">
                        <w:rPr>
                          <w:b/>
                        </w:rPr>
                        <w:t xml:space="preserve">y affect compliance.  In doing so, they are empowered to </w:t>
                      </w:r>
                      <w:r>
                        <w:rPr>
                          <w:b/>
                        </w:rPr>
                        <w:t xml:space="preserve">drive and </w:t>
                      </w:r>
                      <w:r w:rsidR="003A2F4F">
                        <w:rPr>
                          <w:b/>
                        </w:rPr>
                        <w:t>effect changes accordingly.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D10365" w14:textId="77777777" w:rsidR="00B854B8" w:rsidRPr="003A2F4F" w:rsidRDefault="00B854B8" w:rsidP="00B854B8">
      <w:pPr>
        <w:keepNext/>
        <w:rPr>
          <w:rFonts w:ascii="Tahoma" w:hAnsi="Tahoma" w:cs="Tahoma"/>
          <w:sz w:val="20"/>
          <w:szCs w:val="20"/>
          <w:u w:val="single"/>
        </w:rPr>
      </w:pPr>
      <w:r w:rsidRPr="003A2F4F">
        <w:rPr>
          <w:rFonts w:ascii="Tahoma" w:hAnsi="Tahoma" w:cs="Tahoma"/>
          <w:sz w:val="20"/>
          <w:szCs w:val="20"/>
          <w:u w:val="single"/>
        </w:rPr>
        <w:t>Purpose and Scope</w:t>
      </w:r>
    </w:p>
    <w:p w14:paraId="697C0EF6" w14:textId="77777777" w:rsidR="001C7F1E" w:rsidRDefault="005D78B8" w:rsidP="00B854B8">
      <w:pPr>
        <w:keepNext/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 xml:space="preserve">To </w:t>
      </w:r>
      <w:r w:rsidR="00E61C18" w:rsidRPr="003A2F4F">
        <w:rPr>
          <w:rFonts w:ascii="Tahoma" w:hAnsi="Tahoma" w:cs="Tahoma"/>
          <w:sz w:val="20"/>
          <w:szCs w:val="20"/>
        </w:rPr>
        <w:t>monitor</w:t>
      </w:r>
      <w:r w:rsidRPr="003A2F4F">
        <w:rPr>
          <w:rFonts w:ascii="Tahoma" w:hAnsi="Tahoma" w:cs="Tahoma"/>
          <w:sz w:val="20"/>
          <w:szCs w:val="20"/>
        </w:rPr>
        <w:t xml:space="preserve"> and report to both Senate</w:t>
      </w:r>
      <w:r w:rsidR="002344D1" w:rsidRPr="003A2F4F">
        <w:rPr>
          <w:rFonts w:ascii="Tahoma" w:hAnsi="Tahoma" w:cs="Tahoma"/>
          <w:sz w:val="20"/>
          <w:szCs w:val="20"/>
        </w:rPr>
        <w:t xml:space="preserve"> and the University Operations T</w:t>
      </w:r>
      <w:r w:rsidRPr="003A2F4F">
        <w:rPr>
          <w:rFonts w:ascii="Tahoma" w:hAnsi="Tahoma" w:cs="Tahoma"/>
          <w:sz w:val="20"/>
          <w:szCs w:val="20"/>
        </w:rPr>
        <w:t xml:space="preserve">eam on the compliance of the University </w:t>
      </w:r>
      <w:proofErr w:type="spellStart"/>
      <w:r w:rsidRPr="003A2F4F">
        <w:rPr>
          <w:rFonts w:ascii="Tahoma" w:hAnsi="Tahoma" w:cs="Tahoma"/>
          <w:sz w:val="20"/>
          <w:szCs w:val="20"/>
        </w:rPr>
        <w:t>IT</w:t>
      </w:r>
      <w:r w:rsidR="000D2954">
        <w:rPr>
          <w:rFonts w:ascii="Tahoma" w:hAnsi="Tahoma" w:cs="Tahoma"/>
          <w:sz w:val="20"/>
          <w:szCs w:val="20"/>
        </w:rPr>
        <w:t>T</w:t>
      </w:r>
      <w:r w:rsidRPr="003A2F4F">
        <w:rPr>
          <w:rFonts w:ascii="Tahoma" w:hAnsi="Tahoma" w:cs="Tahoma"/>
          <w:sz w:val="20"/>
          <w:szCs w:val="20"/>
        </w:rPr>
        <w:t>E</w:t>
      </w:r>
      <w:proofErr w:type="spellEnd"/>
      <w:r w:rsidRPr="003A2F4F">
        <w:rPr>
          <w:rFonts w:ascii="Tahoma" w:hAnsi="Tahoma" w:cs="Tahoma"/>
          <w:sz w:val="20"/>
          <w:szCs w:val="20"/>
        </w:rPr>
        <w:t xml:space="preserve"> programmes with current Department for Education </w:t>
      </w:r>
      <w:r w:rsidR="00E61C18" w:rsidRPr="003A2F4F">
        <w:rPr>
          <w:rFonts w:ascii="Tahoma" w:hAnsi="Tahoma" w:cs="Tahoma"/>
          <w:sz w:val="20"/>
          <w:szCs w:val="20"/>
        </w:rPr>
        <w:t>requirements</w:t>
      </w:r>
      <w:r w:rsidRPr="003A2F4F">
        <w:rPr>
          <w:rFonts w:ascii="Tahoma" w:hAnsi="Tahoma" w:cs="Tahoma"/>
          <w:sz w:val="20"/>
          <w:szCs w:val="20"/>
        </w:rPr>
        <w:t xml:space="preserve"> for the recommendation of the award of </w:t>
      </w:r>
      <w:proofErr w:type="spellStart"/>
      <w:r w:rsidRPr="003A2F4F">
        <w:rPr>
          <w:rFonts w:ascii="Tahoma" w:hAnsi="Tahoma" w:cs="Tahoma"/>
          <w:sz w:val="20"/>
          <w:szCs w:val="20"/>
        </w:rPr>
        <w:t>QTS</w:t>
      </w:r>
      <w:proofErr w:type="spellEnd"/>
      <w:r w:rsidRPr="003A2F4F">
        <w:rPr>
          <w:rFonts w:ascii="Tahoma" w:hAnsi="Tahoma" w:cs="Tahoma"/>
          <w:sz w:val="20"/>
          <w:szCs w:val="20"/>
        </w:rPr>
        <w:t xml:space="preserve"> and to ensure preparedness for </w:t>
      </w:r>
      <w:proofErr w:type="spellStart"/>
      <w:r w:rsidRPr="003A2F4F">
        <w:rPr>
          <w:rFonts w:ascii="Tahoma" w:hAnsi="Tahoma" w:cs="Tahoma"/>
          <w:sz w:val="20"/>
          <w:szCs w:val="20"/>
        </w:rPr>
        <w:t>OfSTED</w:t>
      </w:r>
      <w:proofErr w:type="spellEnd"/>
      <w:r w:rsidRPr="003A2F4F">
        <w:rPr>
          <w:rFonts w:ascii="Tahoma" w:hAnsi="Tahoma" w:cs="Tahoma"/>
          <w:sz w:val="20"/>
          <w:szCs w:val="20"/>
        </w:rPr>
        <w:t xml:space="preserve"> inspections</w:t>
      </w:r>
      <w:r w:rsidR="0011469B" w:rsidRPr="003A2F4F">
        <w:rPr>
          <w:rFonts w:ascii="Tahoma" w:hAnsi="Tahoma" w:cs="Tahoma"/>
          <w:sz w:val="20"/>
          <w:szCs w:val="20"/>
        </w:rPr>
        <w:t xml:space="preserve"> in line with Department for Education</w:t>
      </w:r>
      <w:r w:rsidR="00567F7B" w:rsidRPr="003A2F4F">
        <w:rPr>
          <w:rFonts w:ascii="Tahoma" w:hAnsi="Tahoma" w:cs="Tahoma"/>
          <w:sz w:val="20"/>
          <w:szCs w:val="20"/>
        </w:rPr>
        <w:t xml:space="preserve"> (DfE)</w:t>
      </w:r>
      <w:r w:rsidR="0011469B" w:rsidRPr="003A2F4F">
        <w:rPr>
          <w:rFonts w:ascii="Tahoma" w:hAnsi="Tahoma" w:cs="Tahoma"/>
          <w:sz w:val="20"/>
          <w:szCs w:val="20"/>
        </w:rPr>
        <w:t xml:space="preserve"> ITT criteria</w:t>
      </w:r>
      <w:r w:rsidR="001C7F1E">
        <w:rPr>
          <w:rFonts w:ascii="Tahoma" w:hAnsi="Tahoma" w:cs="Tahoma"/>
          <w:sz w:val="20"/>
          <w:szCs w:val="20"/>
        </w:rPr>
        <w:t>:</w:t>
      </w:r>
      <w:r w:rsidR="0011469B" w:rsidRPr="003A2F4F">
        <w:rPr>
          <w:rFonts w:ascii="Tahoma" w:hAnsi="Tahoma" w:cs="Tahoma"/>
          <w:sz w:val="20"/>
          <w:szCs w:val="20"/>
        </w:rPr>
        <w:t xml:space="preserve"> </w:t>
      </w:r>
    </w:p>
    <w:p w14:paraId="5756D05A" w14:textId="77777777" w:rsidR="001C7F1E" w:rsidRDefault="001C7F1E" w:rsidP="001C7F1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ITT Criteria</w:t>
      </w:r>
    </w:p>
    <w:p w14:paraId="3883F67F" w14:textId="77777777" w:rsidR="001C7F1E" w:rsidRDefault="00AD0F2C" w:rsidP="001C7F1E">
      <w:pPr>
        <w:pStyle w:val="NormalWeb"/>
        <w:rPr>
          <w:rFonts w:ascii="Calibri" w:hAnsi="Calibri" w:cs="Calibri"/>
          <w:color w:val="000000"/>
        </w:rPr>
      </w:pPr>
      <w:hyperlink r:id="rId11" w:history="1">
        <w:r w:rsidR="001C7F1E">
          <w:rPr>
            <w:rStyle w:val="Hyperlink"/>
            <w:rFonts w:ascii="Calibri" w:hAnsi="Calibri" w:cs="Calibri"/>
          </w:rPr>
          <w:t>https://www.gov.uk/government/publications/initial-teacher-training-criteria/initial-teacher-training-itt-criteria-and-supporting-advice</w:t>
        </w:r>
      </w:hyperlink>
    </w:p>
    <w:p w14:paraId="39942BE5" w14:textId="77777777" w:rsidR="001C7F1E" w:rsidRDefault="001C7F1E" w:rsidP="001C7F1E">
      <w:pPr>
        <w:pStyle w:val="NormalWeb"/>
        <w:rPr>
          <w:rFonts w:ascii="Calibri" w:hAnsi="Calibri" w:cs="Calibri"/>
          <w:color w:val="000000"/>
        </w:rPr>
      </w:pPr>
    </w:p>
    <w:p w14:paraId="0464CE28" w14:textId="77777777" w:rsidR="001C7F1E" w:rsidRDefault="001C7F1E" w:rsidP="001C7F1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ITT Core Content Framework</w:t>
      </w:r>
    </w:p>
    <w:p w14:paraId="2A457F78" w14:textId="77777777" w:rsidR="001C7F1E" w:rsidRDefault="00AD0F2C" w:rsidP="001C7F1E">
      <w:pPr>
        <w:pStyle w:val="NormalWeb"/>
        <w:rPr>
          <w:rFonts w:ascii="Calibri" w:hAnsi="Calibri" w:cs="Calibri"/>
          <w:color w:val="000000"/>
        </w:rPr>
      </w:pPr>
      <w:hyperlink r:id="rId12" w:history="1">
        <w:r w:rsidR="001C7F1E">
          <w:rPr>
            <w:rStyle w:val="Hyperlink"/>
            <w:rFonts w:ascii="Calibri" w:hAnsi="Calibri" w:cs="Calibri"/>
          </w:rPr>
          <w:t>https://www.gov.uk/government/publications/initial-teacher-training-itt-core-content-framework</w:t>
        </w:r>
      </w:hyperlink>
    </w:p>
    <w:p w14:paraId="4737D524" w14:textId="77777777" w:rsidR="001C7F1E" w:rsidRDefault="001C7F1E" w:rsidP="001C7F1E">
      <w:pPr>
        <w:pStyle w:val="NormalWeb"/>
        <w:rPr>
          <w:rFonts w:ascii="Calibri" w:hAnsi="Calibri" w:cs="Calibri"/>
          <w:color w:val="000000"/>
        </w:rPr>
      </w:pPr>
    </w:p>
    <w:p w14:paraId="43F8A8E9" w14:textId="77777777" w:rsidR="001C7F1E" w:rsidRDefault="001C7F1E" w:rsidP="001C7F1E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ITT Ofsted Inspection Framework</w:t>
      </w:r>
    </w:p>
    <w:p w14:paraId="3574BC86" w14:textId="77777777" w:rsidR="001C7F1E" w:rsidRDefault="00AD0F2C" w:rsidP="001C7F1E">
      <w:pPr>
        <w:pStyle w:val="NormalWeb"/>
        <w:rPr>
          <w:rFonts w:ascii="Calibri" w:hAnsi="Calibri" w:cs="Calibri"/>
          <w:color w:val="000000"/>
        </w:rPr>
      </w:pPr>
      <w:hyperlink r:id="rId13" w:history="1">
        <w:r w:rsidR="001C7F1E">
          <w:rPr>
            <w:rStyle w:val="Hyperlink"/>
            <w:rFonts w:ascii="Calibri" w:hAnsi="Calibri" w:cs="Calibri"/>
          </w:rPr>
          <w:t>https://www.gov.uk/government/publications/initial-teacher-education-ite-inspection-framework-and-handbook</w:t>
        </w:r>
      </w:hyperlink>
    </w:p>
    <w:p w14:paraId="5A713E44" w14:textId="77777777" w:rsidR="001C7F1E" w:rsidRDefault="001C7F1E" w:rsidP="001C7F1E">
      <w:pPr>
        <w:pStyle w:val="NormalWeb"/>
        <w:rPr>
          <w:rFonts w:ascii="Calibri" w:hAnsi="Calibri" w:cs="Calibri"/>
          <w:color w:val="000000"/>
        </w:rPr>
      </w:pPr>
    </w:p>
    <w:p w14:paraId="456E8B86" w14:textId="77777777" w:rsidR="00B854B8" w:rsidRPr="003A2F4F" w:rsidRDefault="00B854B8" w:rsidP="00B854B8">
      <w:pPr>
        <w:keepNext/>
        <w:rPr>
          <w:rFonts w:ascii="Tahoma" w:hAnsi="Tahoma" w:cs="Tahoma"/>
          <w:sz w:val="20"/>
          <w:szCs w:val="20"/>
          <w:u w:val="single"/>
        </w:rPr>
      </w:pPr>
      <w:r w:rsidRPr="003A2F4F">
        <w:rPr>
          <w:rFonts w:ascii="Tahoma" w:hAnsi="Tahoma" w:cs="Tahoma"/>
          <w:sz w:val="20"/>
          <w:szCs w:val="20"/>
          <w:u w:val="single"/>
        </w:rPr>
        <w:t>Terms of Reference</w:t>
      </w:r>
    </w:p>
    <w:p w14:paraId="3CEB5ED5" w14:textId="77777777" w:rsidR="005D78B8" w:rsidRPr="003A2F4F" w:rsidRDefault="006D5B39" w:rsidP="005D78B8">
      <w:pPr>
        <w:spacing w:after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 xml:space="preserve">1. </w:t>
      </w:r>
      <w:r w:rsidRPr="003A2F4F">
        <w:rPr>
          <w:rFonts w:ascii="Tahoma" w:hAnsi="Tahoma" w:cs="Tahoma"/>
          <w:sz w:val="20"/>
          <w:szCs w:val="20"/>
        </w:rPr>
        <w:tab/>
      </w:r>
      <w:r w:rsidR="005D78B8" w:rsidRPr="003A2F4F">
        <w:rPr>
          <w:rFonts w:ascii="Tahoma" w:hAnsi="Tahoma" w:cs="Tahoma"/>
          <w:sz w:val="20"/>
          <w:szCs w:val="20"/>
        </w:rPr>
        <w:t xml:space="preserve">To ensure that the University is compliant with requirements for </w:t>
      </w:r>
      <w:proofErr w:type="spellStart"/>
      <w:r w:rsidR="005D78B8" w:rsidRPr="003A2F4F">
        <w:rPr>
          <w:rFonts w:ascii="Tahoma" w:hAnsi="Tahoma" w:cs="Tahoma"/>
          <w:sz w:val="20"/>
          <w:szCs w:val="20"/>
        </w:rPr>
        <w:t>IT</w:t>
      </w:r>
      <w:r w:rsidR="00C40C6F">
        <w:rPr>
          <w:rFonts w:ascii="Tahoma" w:hAnsi="Tahoma" w:cs="Tahoma"/>
          <w:sz w:val="20"/>
          <w:szCs w:val="20"/>
        </w:rPr>
        <w:t>T</w:t>
      </w:r>
      <w:r w:rsidR="005D78B8" w:rsidRPr="003A2F4F">
        <w:rPr>
          <w:rFonts w:ascii="Tahoma" w:hAnsi="Tahoma" w:cs="Tahoma"/>
          <w:sz w:val="20"/>
          <w:szCs w:val="20"/>
        </w:rPr>
        <w:t>E</w:t>
      </w:r>
      <w:proofErr w:type="spellEnd"/>
      <w:r w:rsidRPr="003A2F4F">
        <w:rPr>
          <w:rFonts w:ascii="Tahoma" w:hAnsi="Tahoma" w:cs="Tahoma"/>
          <w:sz w:val="20"/>
          <w:szCs w:val="20"/>
        </w:rPr>
        <w:t xml:space="preserve"> </w:t>
      </w:r>
      <w:r w:rsidR="005D78B8" w:rsidRPr="003A2F4F">
        <w:rPr>
          <w:rFonts w:ascii="Tahoma" w:hAnsi="Tahoma" w:cs="Tahoma"/>
          <w:sz w:val="20"/>
          <w:szCs w:val="20"/>
        </w:rPr>
        <w:t>students through:</w:t>
      </w:r>
    </w:p>
    <w:p w14:paraId="2CA1F256" w14:textId="77777777" w:rsidR="005D78B8" w:rsidRPr="003A2F4F" w:rsidRDefault="005D78B8" w:rsidP="005D78B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BDAA8BA" w14:textId="77777777" w:rsidR="005D78B8" w:rsidRPr="003A2F4F" w:rsidRDefault="00E61C18" w:rsidP="005D78B8">
      <w:pPr>
        <w:pStyle w:val="ListParagraph"/>
        <w:numPr>
          <w:ilvl w:val="1"/>
          <w:numId w:val="7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>Maintaining</w:t>
      </w:r>
      <w:r w:rsidR="005D78B8" w:rsidRPr="003A2F4F">
        <w:rPr>
          <w:rFonts w:ascii="Tahoma" w:hAnsi="Tahoma" w:cs="Tahoma"/>
          <w:sz w:val="20"/>
          <w:szCs w:val="20"/>
        </w:rPr>
        <w:t xml:space="preserve"> and sharing within the Group an understanding of current and developing</w:t>
      </w:r>
      <w:r w:rsidR="00567F7B" w:rsidRPr="003A2F4F">
        <w:rPr>
          <w:rFonts w:ascii="Tahoma" w:hAnsi="Tahoma" w:cs="Tahoma"/>
          <w:sz w:val="20"/>
          <w:szCs w:val="20"/>
        </w:rPr>
        <w:t xml:space="preserve"> DfE ITT</w:t>
      </w:r>
      <w:r w:rsidR="005D78B8" w:rsidRPr="003A2F4F">
        <w:rPr>
          <w:rFonts w:ascii="Tahoma" w:hAnsi="Tahoma" w:cs="Tahoma"/>
          <w:sz w:val="20"/>
          <w:szCs w:val="20"/>
        </w:rPr>
        <w:t xml:space="preserve"> compliance requirements and their practical application into the university’s operating practices.</w:t>
      </w:r>
    </w:p>
    <w:p w14:paraId="6E87DF74" w14:textId="77777777" w:rsidR="005D78B8" w:rsidRPr="003A2F4F" w:rsidRDefault="005D78B8" w:rsidP="005D78B8">
      <w:p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</w:p>
    <w:p w14:paraId="6D9456F4" w14:textId="77777777" w:rsidR="005D78B8" w:rsidRPr="003A2F4F" w:rsidRDefault="00E61C18" w:rsidP="005D78B8">
      <w:pPr>
        <w:pStyle w:val="ListParagraph"/>
        <w:numPr>
          <w:ilvl w:val="1"/>
          <w:numId w:val="7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>Considering</w:t>
      </w:r>
      <w:r w:rsidR="005D78B8" w:rsidRPr="003A2F4F">
        <w:rPr>
          <w:rFonts w:ascii="Tahoma" w:hAnsi="Tahoma" w:cs="Tahoma"/>
          <w:sz w:val="20"/>
          <w:szCs w:val="20"/>
        </w:rPr>
        <w:t xml:space="preserve"> and agreeing procedures and guidance required to meet </w:t>
      </w:r>
      <w:r w:rsidR="00AF2BA1" w:rsidRPr="003A2F4F">
        <w:rPr>
          <w:rFonts w:ascii="Tahoma" w:hAnsi="Tahoma" w:cs="Tahoma"/>
          <w:sz w:val="20"/>
          <w:szCs w:val="20"/>
        </w:rPr>
        <w:t xml:space="preserve">DfE ITT </w:t>
      </w:r>
      <w:r w:rsidR="005D78B8" w:rsidRPr="003A2F4F">
        <w:rPr>
          <w:rFonts w:ascii="Tahoma" w:hAnsi="Tahoma" w:cs="Tahoma"/>
          <w:sz w:val="20"/>
          <w:szCs w:val="20"/>
        </w:rPr>
        <w:t xml:space="preserve">compliance requirements and defining/re-defining roles and responsibilities so clarity can be developed and maintained. </w:t>
      </w:r>
      <w:r w:rsidRPr="003A2F4F">
        <w:rPr>
          <w:rFonts w:ascii="Tahoma" w:hAnsi="Tahoma" w:cs="Tahoma"/>
          <w:sz w:val="20"/>
          <w:szCs w:val="20"/>
        </w:rPr>
        <w:t xml:space="preserve">Avoiding either duplication and/or omission in order to maintain and secure </w:t>
      </w:r>
      <w:r w:rsidR="00567F7B" w:rsidRPr="003A2F4F">
        <w:rPr>
          <w:rFonts w:ascii="Tahoma" w:hAnsi="Tahoma" w:cs="Tahoma"/>
          <w:sz w:val="20"/>
          <w:szCs w:val="20"/>
        </w:rPr>
        <w:t xml:space="preserve">DfE ITT </w:t>
      </w:r>
      <w:r w:rsidRPr="003A2F4F">
        <w:rPr>
          <w:rFonts w:ascii="Tahoma" w:hAnsi="Tahoma" w:cs="Tahoma"/>
          <w:sz w:val="20"/>
          <w:szCs w:val="20"/>
        </w:rPr>
        <w:t>compliance.</w:t>
      </w:r>
    </w:p>
    <w:p w14:paraId="6ED8CB8B" w14:textId="77777777" w:rsidR="005D78B8" w:rsidRPr="003A2F4F" w:rsidRDefault="005D78B8" w:rsidP="005D78B8">
      <w:p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</w:p>
    <w:p w14:paraId="0E058BE9" w14:textId="77777777" w:rsidR="005D78B8" w:rsidRPr="003A2F4F" w:rsidRDefault="00E61C18" w:rsidP="005D78B8">
      <w:pPr>
        <w:pStyle w:val="ListParagraph"/>
        <w:numPr>
          <w:ilvl w:val="1"/>
          <w:numId w:val="7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lastRenderedPageBreak/>
        <w:t>Promulgating</w:t>
      </w:r>
      <w:r w:rsidR="005D78B8" w:rsidRPr="003A2F4F">
        <w:rPr>
          <w:rFonts w:ascii="Tahoma" w:hAnsi="Tahoma" w:cs="Tahoma"/>
          <w:sz w:val="20"/>
          <w:szCs w:val="20"/>
        </w:rPr>
        <w:t xml:space="preserve"> the </w:t>
      </w:r>
      <w:r w:rsidR="00F85FCF" w:rsidRPr="003A2F4F">
        <w:rPr>
          <w:rFonts w:ascii="Tahoma" w:hAnsi="Tahoma" w:cs="Tahoma"/>
          <w:sz w:val="20"/>
          <w:szCs w:val="20"/>
        </w:rPr>
        <w:t xml:space="preserve">DfE and University </w:t>
      </w:r>
      <w:r w:rsidR="005D78B8" w:rsidRPr="003A2F4F">
        <w:rPr>
          <w:rFonts w:ascii="Tahoma" w:hAnsi="Tahoma" w:cs="Tahoma"/>
          <w:sz w:val="20"/>
          <w:szCs w:val="20"/>
        </w:rPr>
        <w:t xml:space="preserve">agreed procedures and guidance and ensuring that those involved with ITE </w:t>
      </w:r>
      <w:r w:rsidR="00C32CBD">
        <w:rPr>
          <w:rFonts w:ascii="Tahoma" w:hAnsi="Tahoma" w:cs="Tahoma"/>
          <w:sz w:val="20"/>
          <w:szCs w:val="20"/>
        </w:rPr>
        <w:t>trainees</w:t>
      </w:r>
      <w:r w:rsidR="00F85FCF" w:rsidRPr="003A2F4F">
        <w:rPr>
          <w:rFonts w:ascii="Tahoma" w:hAnsi="Tahoma" w:cs="Tahoma"/>
          <w:sz w:val="20"/>
          <w:szCs w:val="20"/>
        </w:rPr>
        <w:t xml:space="preserve"> </w:t>
      </w:r>
      <w:r w:rsidR="005D78B8" w:rsidRPr="003A2F4F">
        <w:rPr>
          <w:rFonts w:ascii="Tahoma" w:hAnsi="Tahoma" w:cs="Tahoma"/>
          <w:sz w:val="20"/>
          <w:szCs w:val="20"/>
        </w:rPr>
        <w:t xml:space="preserve">and </w:t>
      </w:r>
      <w:proofErr w:type="spellStart"/>
      <w:r w:rsidR="005D78B8" w:rsidRPr="003A2F4F">
        <w:rPr>
          <w:rFonts w:ascii="Tahoma" w:hAnsi="Tahoma" w:cs="Tahoma"/>
          <w:sz w:val="20"/>
          <w:szCs w:val="20"/>
        </w:rPr>
        <w:t>IT</w:t>
      </w:r>
      <w:r w:rsidR="00C40C6F">
        <w:rPr>
          <w:rFonts w:ascii="Tahoma" w:hAnsi="Tahoma" w:cs="Tahoma"/>
          <w:sz w:val="20"/>
          <w:szCs w:val="20"/>
        </w:rPr>
        <w:t>T</w:t>
      </w:r>
      <w:r w:rsidR="005D78B8" w:rsidRPr="003A2F4F">
        <w:rPr>
          <w:rFonts w:ascii="Tahoma" w:hAnsi="Tahoma" w:cs="Tahoma"/>
          <w:sz w:val="20"/>
          <w:szCs w:val="20"/>
        </w:rPr>
        <w:t>E</w:t>
      </w:r>
      <w:proofErr w:type="spellEnd"/>
      <w:r w:rsidR="005D78B8" w:rsidRPr="003A2F4F">
        <w:rPr>
          <w:rFonts w:ascii="Tahoma" w:hAnsi="Tahoma" w:cs="Tahoma"/>
          <w:sz w:val="20"/>
          <w:szCs w:val="20"/>
        </w:rPr>
        <w:t xml:space="preserve"> </w:t>
      </w:r>
      <w:r w:rsidRPr="003A2F4F">
        <w:rPr>
          <w:rFonts w:ascii="Tahoma" w:hAnsi="Tahoma" w:cs="Tahoma"/>
          <w:sz w:val="20"/>
          <w:szCs w:val="20"/>
        </w:rPr>
        <w:t>applicants</w:t>
      </w:r>
      <w:r w:rsidR="005D78B8" w:rsidRPr="003A2F4F">
        <w:rPr>
          <w:rFonts w:ascii="Tahoma" w:hAnsi="Tahoma" w:cs="Tahoma"/>
          <w:sz w:val="20"/>
          <w:szCs w:val="20"/>
        </w:rPr>
        <w:t xml:space="preserve"> are aware </w:t>
      </w:r>
      <w:r w:rsidRPr="003A2F4F">
        <w:rPr>
          <w:rFonts w:ascii="Tahoma" w:hAnsi="Tahoma" w:cs="Tahoma"/>
          <w:sz w:val="20"/>
          <w:szCs w:val="20"/>
        </w:rPr>
        <w:t>of</w:t>
      </w:r>
      <w:r w:rsidR="00F85FCF" w:rsidRPr="003A2F4F">
        <w:rPr>
          <w:rFonts w:ascii="Tahoma" w:hAnsi="Tahoma" w:cs="Tahoma"/>
          <w:sz w:val="20"/>
          <w:szCs w:val="20"/>
        </w:rPr>
        <w:t>,</w:t>
      </w:r>
      <w:r w:rsidR="005D78B8" w:rsidRPr="003A2F4F">
        <w:rPr>
          <w:rFonts w:ascii="Tahoma" w:hAnsi="Tahoma" w:cs="Tahoma"/>
          <w:sz w:val="20"/>
          <w:szCs w:val="20"/>
        </w:rPr>
        <w:t xml:space="preserve"> take responsibility for and adhere to them.</w:t>
      </w:r>
    </w:p>
    <w:p w14:paraId="05D5193A" w14:textId="77777777" w:rsidR="005D78B8" w:rsidRPr="003A2F4F" w:rsidRDefault="005D78B8" w:rsidP="005D78B8">
      <w:pPr>
        <w:pStyle w:val="ListParagraph"/>
        <w:rPr>
          <w:rFonts w:ascii="Tahoma" w:hAnsi="Tahoma" w:cs="Tahoma"/>
          <w:sz w:val="20"/>
          <w:szCs w:val="20"/>
        </w:rPr>
      </w:pPr>
    </w:p>
    <w:p w14:paraId="5B3586A8" w14:textId="77777777" w:rsidR="005D78B8" w:rsidRPr="003A2F4F" w:rsidRDefault="00E61C18" w:rsidP="005D78B8">
      <w:pPr>
        <w:pStyle w:val="ListParagraph"/>
        <w:numPr>
          <w:ilvl w:val="1"/>
          <w:numId w:val="7"/>
        </w:numPr>
        <w:spacing w:after="0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>Arranging/undertaking</w:t>
      </w:r>
      <w:r w:rsidR="005D78B8" w:rsidRPr="003A2F4F">
        <w:rPr>
          <w:rFonts w:ascii="Tahoma" w:hAnsi="Tahoma" w:cs="Tahoma"/>
          <w:sz w:val="20"/>
          <w:szCs w:val="20"/>
        </w:rPr>
        <w:t xml:space="preserve"> internal audits of areas involved in the recruitment, teaching and support of ITE </w:t>
      </w:r>
      <w:r w:rsidR="00C32CBD">
        <w:rPr>
          <w:rFonts w:ascii="Tahoma" w:hAnsi="Tahoma" w:cs="Tahoma"/>
          <w:sz w:val="20"/>
          <w:szCs w:val="20"/>
        </w:rPr>
        <w:t>trainees</w:t>
      </w:r>
      <w:r w:rsidR="005D78B8" w:rsidRPr="003A2F4F">
        <w:rPr>
          <w:rFonts w:ascii="Tahoma" w:hAnsi="Tahoma" w:cs="Tahoma"/>
          <w:sz w:val="20"/>
          <w:szCs w:val="20"/>
        </w:rPr>
        <w:t>.</w:t>
      </w:r>
    </w:p>
    <w:p w14:paraId="2F7BCAE7" w14:textId="77777777" w:rsidR="005D78B8" w:rsidRPr="003A2F4F" w:rsidRDefault="005D78B8" w:rsidP="005D78B8">
      <w:pPr>
        <w:spacing w:after="0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3B23BAAA" w14:textId="77777777" w:rsidR="005D78B8" w:rsidRPr="003A2F4F" w:rsidRDefault="005D78B8" w:rsidP="005D78B8">
      <w:pPr>
        <w:spacing w:after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>2.</w:t>
      </w:r>
      <w:r w:rsidRPr="003A2F4F">
        <w:rPr>
          <w:rFonts w:ascii="Tahoma" w:hAnsi="Tahoma" w:cs="Tahoma"/>
          <w:sz w:val="20"/>
          <w:szCs w:val="20"/>
        </w:rPr>
        <w:tab/>
        <w:t xml:space="preserve">To </w:t>
      </w:r>
      <w:r w:rsidR="008E3BDE" w:rsidRPr="003A2F4F">
        <w:rPr>
          <w:rFonts w:ascii="Tahoma" w:hAnsi="Tahoma" w:cs="Tahoma"/>
          <w:sz w:val="20"/>
          <w:szCs w:val="20"/>
        </w:rPr>
        <w:t xml:space="preserve">support in </w:t>
      </w:r>
      <w:r w:rsidRPr="003A2F4F">
        <w:rPr>
          <w:rFonts w:ascii="Tahoma" w:hAnsi="Tahoma" w:cs="Tahoma"/>
          <w:sz w:val="20"/>
          <w:szCs w:val="20"/>
        </w:rPr>
        <w:t>prepar</w:t>
      </w:r>
      <w:r w:rsidR="008E3BDE" w:rsidRPr="003A2F4F">
        <w:rPr>
          <w:rFonts w:ascii="Tahoma" w:hAnsi="Tahoma" w:cs="Tahoma"/>
          <w:sz w:val="20"/>
          <w:szCs w:val="20"/>
        </w:rPr>
        <w:t>ing</w:t>
      </w:r>
      <w:r w:rsidRPr="003A2F4F">
        <w:rPr>
          <w:rFonts w:ascii="Tahoma" w:hAnsi="Tahoma" w:cs="Tahoma"/>
          <w:sz w:val="20"/>
          <w:szCs w:val="20"/>
        </w:rPr>
        <w:t xml:space="preserve"> for </w:t>
      </w:r>
      <w:proofErr w:type="spellStart"/>
      <w:r w:rsidRPr="003A2F4F">
        <w:rPr>
          <w:rFonts w:ascii="Tahoma" w:hAnsi="Tahoma" w:cs="Tahoma"/>
          <w:sz w:val="20"/>
          <w:szCs w:val="20"/>
        </w:rPr>
        <w:t>Of</w:t>
      </w:r>
      <w:r w:rsidR="001327AE" w:rsidRPr="003A2F4F">
        <w:rPr>
          <w:rFonts w:ascii="Tahoma" w:hAnsi="Tahoma" w:cs="Tahoma"/>
          <w:sz w:val="20"/>
          <w:szCs w:val="20"/>
        </w:rPr>
        <w:t>STED</w:t>
      </w:r>
      <w:proofErr w:type="spellEnd"/>
      <w:r w:rsidRPr="003A2F4F">
        <w:rPr>
          <w:rFonts w:ascii="Tahoma" w:hAnsi="Tahoma" w:cs="Tahoma"/>
          <w:sz w:val="20"/>
          <w:szCs w:val="20"/>
        </w:rPr>
        <w:t xml:space="preserve"> Inspections and </w:t>
      </w:r>
      <w:proofErr w:type="spellStart"/>
      <w:r w:rsidRPr="003A2F4F">
        <w:rPr>
          <w:rFonts w:ascii="Tahoma" w:hAnsi="Tahoma" w:cs="Tahoma"/>
          <w:sz w:val="20"/>
          <w:szCs w:val="20"/>
        </w:rPr>
        <w:t>Of</w:t>
      </w:r>
      <w:r w:rsidR="00C32CBD">
        <w:rPr>
          <w:rFonts w:ascii="Tahoma" w:hAnsi="Tahoma" w:cs="Tahoma"/>
          <w:sz w:val="20"/>
          <w:szCs w:val="20"/>
        </w:rPr>
        <w:t>STED</w:t>
      </w:r>
      <w:proofErr w:type="spellEnd"/>
      <w:r w:rsidRPr="003A2F4F">
        <w:rPr>
          <w:rFonts w:ascii="Tahoma" w:hAnsi="Tahoma" w:cs="Tahoma"/>
          <w:sz w:val="20"/>
          <w:szCs w:val="20"/>
        </w:rPr>
        <w:t xml:space="preserve"> improvement planning, ensuring that all data and information required </w:t>
      </w:r>
      <w:r w:rsidR="008E5E8D" w:rsidRPr="003A2F4F">
        <w:rPr>
          <w:rFonts w:ascii="Tahoma" w:hAnsi="Tahoma" w:cs="Tahoma"/>
          <w:sz w:val="20"/>
          <w:szCs w:val="20"/>
        </w:rPr>
        <w:t>are</w:t>
      </w:r>
      <w:r w:rsidRPr="003A2F4F">
        <w:rPr>
          <w:rFonts w:ascii="Tahoma" w:hAnsi="Tahoma" w:cs="Tahoma"/>
          <w:sz w:val="20"/>
          <w:szCs w:val="20"/>
        </w:rPr>
        <w:t xml:space="preserve"> in order and reflect the way the University is operating in relation to </w:t>
      </w:r>
      <w:proofErr w:type="spellStart"/>
      <w:r w:rsidRPr="003A2F4F">
        <w:rPr>
          <w:rFonts w:ascii="Tahoma" w:hAnsi="Tahoma" w:cs="Tahoma"/>
          <w:sz w:val="20"/>
          <w:szCs w:val="20"/>
        </w:rPr>
        <w:t>IT</w:t>
      </w:r>
      <w:r w:rsidR="00C40C6F">
        <w:rPr>
          <w:rFonts w:ascii="Tahoma" w:hAnsi="Tahoma" w:cs="Tahoma"/>
          <w:sz w:val="20"/>
          <w:szCs w:val="20"/>
        </w:rPr>
        <w:t>T</w:t>
      </w:r>
      <w:r w:rsidRPr="003A2F4F">
        <w:rPr>
          <w:rFonts w:ascii="Tahoma" w:hAnsi="Tahoma" w:cs="Tahoma"/>
          <w:sz w:val="20"/>
          <w:szCs w:val="20"/>
        </w:rPr>
        <w:t>E</w:t>
      </w:r>
      <w:proofErr w:type="spellEnd"/>
      <w:r w:rsidRPr="003A2F4F">
        <w:rPr>
          <w:rFonts w:ascii="Tahoma" w:hAnsi="Tahoma" w:cs="Tahoma"/>
          <w:sz w:val="20"/>
          <w:szCs w:val="20"/>
        </w:rPr>
        <w:t xml:space="preserve"> </w:t>
      </w:r>
      <w:r w:rsidR="00C32CBD">
        <w:rPr>
          <w:rFonts w:ascii="Tahoma" w:hAnsi="Tahoma" w:cs="Tahoma"/>
          <w:sz w:val="20"/>
          <w:szCs w:val="20"/>
        </w:rPr>
        <w:t>trainees</w:t>
      </w:r>
      <w:r w:rsidRPr="003A2F4F">
        <w:rPr>
          <w:rFonts w:ascii="Tahoma" w:hAnsi="Tahoma" w:cs="Tahoma"/>
          <w:sz w:val="20"/>
          <w:szCs w:val="20"/>
        </w:rPr>
        <w:t>.</w:t>
      </w:r>
    </w:p>
    <w:p w14:paraId="64BCCED1" w14:textId="77777777" w:rsidR="005D78B8" w:rsidRPr="003A2F4F" w:rsidRDefault="005D78B8" w:rsidP="005D78B8">
      <w:pPr>
        <w:spacing w:after="0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3A571792" w14:textId="77777777" w:rsidR="005D78B8" w:rsidRPr="003A2F4F" w:rsidRDefault="005D78B8" w:rsidP="005D78B8">
      <w:pPr>
        <w:spacing w:after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>3.</w:t>
      </w:r>
      <w:r w:rsidRPr="003A2F4F">
        <w:rPr>
          <w:rFonts w:ascii="Tahoma" w:hAnsi="Tahoma" w:cs="Tahoma"/>
          <w:sz w:val="20"/>
          <w:szCs w:val="20"/>
        </w:rPr>
        <w:tab/>
        <w:t xml:space="preserve">To advise </w:t>
      </w:r>
      <w:proofErr w:type="spellStart"/>
      <w:r w:rsidRPr="003A2F4F">
        <w:rPr>
          <w:rFonts w:ascii="Tahoma" w:hAnsi="Tahoma" w:cs="Tahoma"/>
          <w:sz w:val="20"/>
          <w:szCs w:val="20"/>
        </w:rPr>
        <w:t>ULT</w:t>
      </w:r>
      <w:proofErr w:type="spellEnd"/>
      <w:r w:rsidRPr="003A2F4F">
        <w:rPr>
          <w:rFonts w:ascii="Tahoma" w:hAnsi="Tahoma" w:cs="Tahoma"/>
          <w:sz w:val="20"/>
          <w:szCs w:val="20"/>
        </w:rPr>
        <w:t xml:space="preserve"> of issues arising in relation to the way the </w:t>
      </w:r>
      <w:r w:rsidR="00A6157A" w:rsidRPr="003A2F4F">
        <w:rPr>
          <w:rFonts w:ascii="Tahoma" w:hAnsi="Tahoma" w:cs="Tahoma"/>
          <w:sz w:val="20"/>
          <w:szCs w:val="20"/>
        </w:rPr>
        <w:t xml:space="preserve">appropriate </w:t>
      </w:r>
      <w:r w:rsidRPr="003A2F4F">
        <w:rPr>
          <w:rFonts w:ascii="Tahoma" w:hAnsi="Tahoma" w:cs="Tahoma"/>
          <w:sz w:val="20"/>
          <w:szCs w:val="20"/>
        </w:rPr>
        <w:t>University</w:t>
      </w:r>
      <w:r w:rsidR="00A6157A" w:rsidRPr="003A2F4F">
        <w:rPr>
          <w:rFonts w:ascii="Tahoma" w:hAnsi="Tahoma" w:cs="Tahoma"/>
          <w:sz w:val="20"/>
          <w:szCs w:val="20"/>
        </w:rPr>
        <w:t xml:space="preserve"> areas are complying or not complying with DfE</w:t>
      </w:r>
      <w:r w:rsidR="008E3BDE" w:rsidRPr="003A2F4F">
        <w:rPr>
          <w:rFonts w:ascii="Tahoma" w:hAnsi="Tahoma" w:cs="Tahoma"/>
          <w:sz w:val="20"/>
          <w:szCs w:val="20"/>
        </w:rPr>
        <w:t xml:space="preserve"> ITT compliance</w:t>
      </w:r>
      <w:r w:rsidR="00A6157A" w:rsidRPr="003A2F4F">
        <w:rPr>
          <w:rFonts w:ascii="Tahoma" w:hAnsi="Tahoma" w:cs="Tahoma"/>
          <w:sz w:val="20"/>
          <w:szCs w:val="20"/>
        </w:rPr>
        <w:t xml:space="preserve"> r</w:t>
      </w:r>
      <w:r w:rsidRPr="003A2F4F">
        <w:rPr>
          <w:rFonts w:ascii="Tahoma" w:hAnsi="Tahoma" w:cs="Tahoma"/>
          <w:sz w:val="20"/>
          <w:szCs w:val="20"/>
        </w:rPr>
        <w:t>equirements</w:t>
      </w:r>
      <w:r w:rsidR="00737E2A" w:rsidRPr="003A2F4F">
        <w:rPr>
          <w:rFonts w:ascii="Tahoma" w:hAnsi="Tahoma" w:cs="Tahoma"/>
          <w:sz w:val="20"/>
          <w:szCs w:val="20"/>
        </w:rPr>
        <w:t>,</w:t>
      </w:r>
      <w:r w:rsidRPr="003A2F4F">
        <w:rPr>
          <w:rFonts w:ascii="Tahoma" w:hAnsi="Tahoma" w:cs="Tahoma"/>
          <w:sz w:val="20"/>
          <w:szCs w:val="20"/>
        </w:rPr>
        <w:t xml:space="preserve"> recommending where changes should be made.</w:t>
      </w:r>
    </w:p>
    <w:p w14:paraId="3A30083E" w14:textId="77777777" w:rsidR="005D78B8" w:rsidRPr="003A2F4F" w:rsidRDefault="005D78B8" w:rsidP="005D78B8">
      <w:pPr>
        <w:spacing w:after="0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5FB901F2" w14:textId="77777777" w:rsidR="00450D0D" w:rsidRDefault="005D78B8" w:rsidP="003A2F4F">
      <w:pPr>
        <w:spacing w:after="0"/>
        <w:ind w:left="709" w:hanging="709"/>
        <w:jc w:val="both"/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>4.</w:t>
      </w:r>
      <w:r w:rsidRPr="003A2F4F">
        <w:rPr>
          <w:rFonts w:ascii="Tahoma" w:hAnsi="Tahoma" w:cs="Tahoma"/>
          <w:sz w:val="20"/>
          <w:szCs w:val="20"/>
        </w:rPr>
        <w:tab/>
        <w:t xml:space="preserve">The Group will provide reports for </w:t>
      </w:r>
      <w:proofErr w:type="spellStart"/>
      <w:r w:rsidR="00E61C18" w:rsidRPr="003A2F4F">
        <w:rPr>
          <w:rFonts w:ascii="Tahoma" w:hAnsi="Tahoma" w:cs="Tahoma"/>
          <w:sz w:val="20"/>
          <w:szCs w:val="20"/>
        </w:rPr>
        <w:t>ULT</w:t>
      </w:r>
      <w:proofErr w:type="spellEnd"/>
      <w:r w:rsidRPr="003A2F4F">
        <w:rPr>
          <w:rFonts w:ascii="Tahoma" w:hAnsi="Tahoma" w:cs="Tahoma"/>
          <w:sz w:val="20"/>
          <w:szCs w:val="20"/>
        </w:rPr>
        <w:t xml:space="preserve"> as appropriate.</w:t>
      </w:r>
    </w:p>
    <w:p w14:paraId="578C8F6F" w14:textId="77777777" w:rsidR="00D21948" w:rsidRDefault="00D21948" w:rsidP="003A2F4F">
      <w:pPr>
        <w:spacing w:after="0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46676C17" w14:textId="77777777" w:rsidR="00D21948" w:rsidRPr="00D21948" w:rsidRDefault="00D21948" w:rsidP="00D21948">
      <w:pPr>
        <w:ind w:left="709" w:hanging="709"/>
        <w:rPr>
          <w:rFonts w:ascii="Tahoma" w:hAnsi="Tahoma" w:cs="Tahoma"/>
          <w:bCs/>
        </w:rPr>
      </w:pPr>
      <w:r>
        <w:rPr>
          <w:rFonts w:ascii="Tahoma" w:hAnsi="Tahoma" w:cs="Tahoma"/>
          <w:sz w:val="20"/>
          <w:szCs w:val="20"/>
        </w:rPr>
        <w:t xml:space="preserve">5. </w:t>
      </w:r>
      <w:r>
        <w:rPr>
          <w:rFonts w:ascii="Tahoma" w:hAnsi="Tahoma" w:cs="Tahoma"/>
          <w:sz w:val="20"/>
          <w:szCs w:val="20"/>
        </w:rPr>
        <w:tab/>
      </w:r>
      <w:r w:rsidRPr="00D21948">
        <w:rPr>
          <w:rFonts w:ascii="Tahoma" w:hAnsi="Tahoma" w:cs="Tahoma"/>
          <w:bCs/>
          <w:sz w:val="20"/>
          <w:szCs w:val="20"/>
        </w:rPr>
        <w:t>At times there is highly restricted and confidential information discussed a</w:t>
      </w:r>
      <w:r>
        <w:rPr>
          <w:rFonts w:ascii="Tahoma" w:hAnsi="Tahoma" w:cs="Tahoma"/>
          <w:bCs/>
          <w:sz w:val="20"/>
          <w:szCs w:val="20"/>
        </w:rPr>
        <w:t>nd</w:t>
      </w:r>
      <w:r w:rsidR="00656030">
        <w:rPr>
          <w:rFonts w:ascii="Tahoma" w:hAnsi="Tahoma" w:cs="Tahoma"/>
          <w:bCs/>
          <w:sz w:val="20"/>
          <w:szCs w:val="20"/>
        </w:rPr>
        <w:t xml:space="preserve"> </w:t>
      </w:r>
      <w:r w:rsidRPr="00D21948">
        <w:rPr>
          <w:rFonts w:ascii="Tahoma" w:hAnsi="Tahoma" w:cs="Tahoma"/>
          <w:bCs/>
          <w:sz w:val="20"/>
          <w:szCs w:val="20"/>
        </w:rPr>
        <w:t>where necessary</w:t>
      </w:r>
      <w:r w:rsidR="00656030">
        <w:rPr>
          <w:rFonts w:ascii="Tahoma" w:hAnsi="Tahoma" w:cs="Tahoma"/>
          <w:bCs/>
          <w:sz w:val="20"/>
          <w:szCs w:val="20"/>
        </w:rPr>
        <w:t xml:space="preserve"> </w:t>
      </w:r>
      <w:r w:rsidRPr="00D21948">
        <w:rPr>
          <w:rFonts w:ascii="Tahoma" w:hAnsi="Tahoma" w:cs="Tahoma"/>
          <w:bCs/>
          <w:sz w:val="20"/>
          <w:szCs w:val="20"/>
        </w:rPr>
        <w:t>such information will be redacted from any forwarding reports.</w:t>
      </w:r>
    </w:p>
    <w:p w14:paraId="08AA953C" w14:textId="77777777" w:rsidR="00B854B8" w:rsidRPr="003A2F4F" w:rsidRDefault="00B854B8" w:rsidP="00B854B8">
      <w:pPr>
        <w:keepNext/>
        <w:rPr>
          <w:rFonts w:ascii="Tahoma" w:hAnsi="Tahoma" w:cs="Tahoma"/>
          <w:sz w:val="20"/>
          <w:szCs w:val="20"/>
          <w:u w:val="single"/>
        </w:rPr>
      </w:pPr>
      <w:r w:rsidRPr="003A2F4F">
        <w:rPr>
          <w:rFonts w:ascii="Tahoma" w:hAnsi="Tahoma" w:cs="Tahoma"/>
          <w:sz w:val="20"/>
          <w:szCs w:val="20"/>
          <w:u w:val="single"/>
        </w:rPr>
        <w:t>Quoracy</w:t>
      </w:r>
    </w:p>
    <w:p w14:paraId="132BE156" w14:textId="77777777" w:rsidR="00450D0D" w:rsidRPr="003A2F4F" w:rsidRDefault="005D2CC5">
      <w:pPr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  <w:lang w:eastAsia="en-GB"/>
        </w:rPr>
        <w:t>50% plus 1</w:t>
      </w:r>
      <w:r w:rsidR="00897BF6" w:rsidRPr="003A2F4F">
        <w:rPr>
          <w:rFonts w:ascii="Tahoma" w:hAnsi="Tahoma" w:cs="Tahoma"/>
          <w:sz w:val="20"/>
          <w:szCs w:val="20"/>
          <w:lang w:eastAsia="en-GB"/>
        </w:rPr>
        <w:t xml:space="preserve">.  </w:t>
      </w:r>
      <w:r w:rsidR="00897BF6" w:rsidRPr="003A2F4F">
        <w:rPr>
          <w:rFonts w:ascii="Tahoma" w:hAnsi="Tahoma" w:cs="Tahoma"/>
          <w:sz w:val="20"/>
          <w:szCs w:val="20"/>
        </w:rPr>
        <w:t>Attendance of members will be monitored on an annual basis.</w:t>
      </w:r>
    </w:p>
    <w:p w14:paraId="15705F1C" w14:textId="77777777" w:rsidR="00B854B8" w:rsidRPr="003A2F4F" w:rsidRDefault="00B854B8" w:rsidP="00B854B8">
      <w:pPr>
        <w:keepNext/>
        <w:rPr>
          <w:rFonts w:ascii="Tahoma" w:hAnsi="Tahoma" w:cs="Tahoma"/>
          <w:sz w:val="20"/>
          <w:szCs w:val="20"/>
          <w:u w:val="single"/>
        </w:rPr>
      </w:pPr>
      <w:r w:rsidRPr="003A2F4F">
        <w:rPr>
          <w:rFonts w:ascii="Tahoma" w:hAnsi="Tahoma" w:cs="Tahoma"/>
          <w:sz w:val="20"/>
          <w:szCs w:val="20"/>
          <w:u w:val="single"/>
        </w:rPr>
        <w:t>Frequency of Meetings</w:t>
      </w:r>
    </w:p>
    <w:p w14:paraId="7287638B" w14:textId="77777777" w:rsidR="00214A0E" w:rsidRDefault="00520714" w:rsidP="00214A0E">
      <w:pPr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>Monthly</w:t>
      </w:r>
      <w:r w:rsidR="00341D90">
        <w:rPr>
          <w:rFonts w:ascii="Tahoma" w:hAnsi="Tahoma" w:cs="Tahoma"/>
          <w:sz w:val="20"/>
          <w:szCs w:val="20"/>
        </w:rPr>
        <w:t xml:space="preserve"> (with additional meetings when required)</w:t>
      </w:r>
    </w:p>
    <w:p w14:paraId="0AC405A9" w14:textId="77777777" w:rsidR="00214A0E" w:rsidRDefault="00B854B8" w:rsidP="00214A0E">
      <w:pPr>
        <w:rPr>
          <w:rFonts w:ascii="Tahoma" w:hAnsi="Tahoma" w:cs="Tahoma"/>
          <w:sz w:val="20"/>
          <w:szCs w:val="20"/>
          <w:u w:val="single"/>
        </w:rPr>
      </w:pPr>
      <w:r w:rsidRPr="003A2F4F">
        <w:rPr>
          <w:rFonts w:ascii="Tahoma" w:hAnsi="Tahoma" w:cs="Tahoma"/>
          <w:sz w:val="20"/>
          <w:szCs w:val="20"/>
          <w:u w:val="single"/>
        </w:rPr>
        <w:t>Constitution</w:t>
      </w:r>
    </w:p>
    <w:p w14:paraId="7AB8ECCE" w14:textId="77777777" w:rsidR="00214A0E" w:rsidRDefault="003A2F4F" w:rsidP="00214A0E">
      <w:pPr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 xml:space="preserve">Faculty of Education </w:t>
      </w:r>
      <w:r w:rsidR="00241A2F">
        <w:rPr>
          <w:rFonts w:ascii="Tahoma" w:hAnsi="Tahoma" w:cs="Tahoma"/>
          <w:sz w:val="20"/>
          <w:szCs w:val="20"/>
        </w:rPr>
        <w:t xml:space="preserve">Executive and Associate </w:t>
      </w:r>
      <w:r w:rsidRPr="003A2F4F">
        <w:rPr>
          <w:rFonts w:ascii="Tahoma" w:hAnsi="Tahoma" w:cs="Tahoma"/>
          <w:sz w:val="20"/>
          <w:szCs w:val="20"/>
        </w:rPr>
        <w:t>Dean</w:t>
      </w:r>
      <w:r w:rsidR="00241A2F">
        <w:rPr>
          <w:rFonts w:ascii="Tahoma" w:hAnsi="Tahoma" w:cs="Tahoma"/>
          <w:sz w:val="20"/>
          <w:szCs w:val="20"/>
        </w:rPr>
        <w:t>s,</w:t>
      </w:r>
      <w:r w:rsidRPr="003A2F4F">
        <w:rPr>
          <w:rFonts w:ascii="Tahoma" w:hAnsi="Tahoma" w:cs="Tahoma"/>
          <w:sz w:val="20"/>
          <w:szCs w:val="20"/>
        </w:rPr>
        <w:t xml:space="preserve"> </w:t>
      </w:r>
      <w:r w:rsidR="005D78B8" w:rsidRPr="003A2F4F">
        <w:rPr>
          <w:rFonts w:ascii="Tahoma" w:hAnsi="Tahoma" w:cs="Tahoma"/>
          <w:sz w:val="20"/>
          <w:szCs w:val="20"/>
        </w:rPr>
        <w:t xml:space="preserve">and representatives of </w:t>
      </w:r>
      <w:proofErr w:type="spellStart"/>
      <w:r w:rsidR="005D78B8" w:rsidRPr="003A2F4F">
        <w:rPr>
          <w:rFonts w:ascii="Tahoma" w:hAnsi="Tahoma" w:cs="Tahoma"/>
          <w:sz w:val="20"/>
          <w:szCs w:val="20"/>
        </w:rPr>
        <w:t>IT</w:t>
      </w:r>
      <w:r w:rsidR="00C40C6F">
        <w:rPr>
          <w:rFonts w:ascii="Tahoma" w:hAnsi="Tahoma" w:cs="Tahoma"/>
          <w:sz w:val="20"/>
          <w:szCs w:val="20"/>
        </w:rPr>
        <w:t>T</w:t>
      </w:r>
      <w:r w:rsidR="005D78B8" w:rsidRPr="003A2F4F">
        <w:rPr>
          <w:rFonts w:ascii="Tahoma" w:hAnsi="Tahoma" w:cs="Tahoma"/>
          <w:sz w:val="20"/>
          <w:szCs w:val="20"/>
        </w:rPr>
        <w:t>E</w:t>
      </w:r>
      <w:proofErr w:type="spellEnd"/>
      <w:r w:rsidR="005D78B8" w:rsidRPr="003A2F4F">
        <w:rPr>
          <w:rFonts w:ascii="Tahoma" w:hAnsi="Tahoma" w:cs="Tahoma"/>
          <w:sz w:val="20"/>
          <w:szCs w:val="20"/>
        </w:rPr>
        <w:t xml:space="preserve"> programmes</w:t>
      </w:r>
      <w:r w:rsidR="00241A2F">
        <w:rPr>
          <w:rFonts w:ascii="Tahoma" w:hAnsi="Tahoma" w:cs="Tahoma"/>
          <w:sz w:val="20"/>
          <w:szCs w:val="20"/>
        </w:rPr>
        <w:t>;</w:t>
      </w:r>
      <w:r w:rsidR="005D78B8" w:rsidRPr="003A2F4F">
        <w:rPr>
          <w:rFonts w:ascii="Tahoma" w:hAnsi="Tahoma" w:cs="Tahoma"/>
          <w:sz w:val="20"/>
          <w:szCs w:val="20"/>
        </w:rPr>
        <w:t xml:space="preserve"> </w:t>
      </w:r>
      <w:r w:rsidR="00B3632F" w:rsidRPr="003A2F4F">
        <w:rPr>
          <w:rFonts w:ascii="Tahoma" w:hAnsi="Tahoma" w:cs="Tahoma"/>
          <w:sz w:val="20"/>
          <w:szCs w:val="20"/>
        </w:rPr>
        <w:t>F</w:t>
      </w:r>
      <w:r w:rsidR="005D78B8" w:rsidRPr="003A2F4F">
        <w:rPr>
          <w:rFonts w:ascii="Tahoma" w:hAnsi="Tahoma" w:cs="Tahoma"/>
          <w:sz w:val="20"/>
          <w:szCs w:val="20"/>
        </w:rPr>
        <w:t xml:space="preserve">aculty </w:t>
      </w:r>
      <w:r w:rsidR="003C1168" w:rsidRPr="003A2F4F">
        <w:rPr>
          <w:rFonts w:ascii="Tahoma" w:hAnsi="Tahoma" w:cs="Tahoma"/>
          <w:sz w:val="20"/>
          <w:szCs w:val="20"/>
        </w:rPr>
        <w:t xml:space="preserve">of Education </w:t>
      </w:r>
      <w:r>
        <w:rPr>
          <w:rFonts w:ascii="Tahoma" w:hAnsi="Tahoma" w:cs="Tahoma"/>
          <w:sz w:val="20"/>
          <w:szCs w:val="20"/>
        </w:rPr>
        <w:t>o</w:t>
      </w:r>
      <w:r w:rsidR="005D78B8" w:rsidRPr="003A2F4F">
        <w:rPr>
          <w:rFonts w:ascii="Tahoma" w:hAnsi="Tahoma" w:cs="Tahoma"/>
          <w:sz w:val="20"/>
          <w:szCs w:val="20"/>
        </w:rPr>
        <w:t>ffice</w:t>
      </w:r>
      <w:r w:rsidR="00241A2F">
        <w:rPr>
          <w:rFonts w:ascii="Tahoma" w:hAnsi="Tahoma" w:cs="Tahoma"/>
          <w:sz w:val="20"/>
          <w:szCs w:val="20"/>
        </w:rPr>
        <w:t>;</w:t>
      </w:r>
      <w:r>
        <w:rPr>
          <w:rFonts w:ascii="Tahoma" w:hAnsi="Tahoma" w:cs="Tahoma"/>
          <w:sz w:val="20"/>
          <w:szCs w:val="20"/>
        </w:rPr>
        <w:t xml:space="preserve"> Registry</w:t>
      </w:r>
      <w:r w:rsidR="00C80BB8">
        <w:rPr>
          <w:rFonts w:ascii="Tahoma" w:hAnsi="Tahoma" w:cs="Tahoma"/>
          <w:sz w:val="20"/>
          <w:szCs w:val="20"/>
        </w:rPr>
        <w:t xml:space="preserve"> and PSD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4A751F0E" w14:textId="77777777" w:rsidR="00214A0E" w:rsidRDefault="00B854B8" w:rsidP="00214A0E">
      <w:pPr>
        <w:rPr>
          <w:rFonts w:ascii="Tahoma" w:hAnsi="Tahoma" w:cs="Tahoma"/>
          <w:sz w:val="20"/>
          <w:szCs w:val="20"/>
          <w:u w:val="single"/>
        </w:rPr>
      </w:pPr>
      <w:r w:rsidRPr="003A2F4F">
        <w:rPr>
          <w:rFonts w:ascii="Tahoma" w:hAnsi="Tahoma" w:cs="Tahoma"/>
          <w:sz w:val="20"/>
          <w:szCs w:val="20"/>
          <w:u w:val="single"/>
        </w:rPr>
        <w:t>Membership</w:t>
      </w:r>
    </w:p>
    <w:p w14:paraId="170A7695" w14:textId="5A7A0A74" w:rsidR="00214A0E" w:rsidRDefault="0084502C" w:rsidP="00214A0E">
      <w:pPr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 xml:space="preserve">Chair </w:t>
      </w:r>
      <w:r w:rsidR="00255CD5">
        <w:rPr>
          <w:rFonts w:ascii="Tahoma" w:hAnsi="Tahoma" w:cs="Tahoma"/>
          <w:sz w:val="20"/>
          <w:szCs w:val="20"/>
        </w:rPr>
        <w:t>–</w:t>
      </w:r>
      <w:r w:rsidRPr="003A2F4F">
        <w:rPr>
          <w:rFonts w:ascii="Tahoma" w:hAnsi="Tahoma" w:cs="Tahoma"/>
          <w:sz w:val="20"/>
          <w:szCs w:val="20"/>
        </w:rPr>
        <w:t xml:space="preserve"> </w:t>
      </w:r>
      <w:r w:rsidR="00CD65AF">
        <w:rPr>
          <w:rFonts w:ascii="Tahoma" w:hAnsi="Tahoma" w:cs="Tahoma"/>
          <w:sz w:val="20"/>
          <w:szCs w:val="20"/>
        </w:rPr>
        <w:t>Executive Dean, Faculty of Education</w:t>
      </w:r>
      <w:r w:rsidR="003C1168" w:rsidRPr="003A2F4F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14:paraId="5527EDA6" w14:textId="1888FDB7" w:rsidR="00214A0E" w:rsidRDefault="00CD65AF" w:rsidP="00214A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Vice Chair – Associate Dean</w:t>
      </w:r>
      <w:r w:rsidR="00230DFC">
        <w:rPr>
          <w:rFonts w:ascii="Tahoma" w:hAnsi="Tahoma" w:cs="Tahoma"/>
          <w:sz w:val="20"/>
          <w:szCs w:val="20"/>
        </w:rPr>
        <w:t>, Faculty of Education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4EA20A3" w14:textId="4EE73FD7" w:rsidR="00214A0E" w:rsidRDefault="00255CD5" w:rsidP="00214A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</w:t>
      </w:r>
      <w:r w:rsidR="00163073" w:rsidRPr="003A2F4F">
        <w:rPr>
          <w:rFonts w:ascii="Tahoma" w:hAnsi="Tahoma" w:cs="Tahoma"/>
          <w:sz w:val="20"/>
          <w:szCs w:val="20"/>
        </w:rPr>
        <w:t xml:space="preserve">ead of Primary </w:t>
      </w:r>
    </w:p>
    <w:p w14:paraId="0F9C082C" w14:textId="5B1850F9" w:rsidR="00214A0E" w:rsidRDefault="00163073" w:rsidP="00214A0E">
      <w:pPr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>Head of Secondary ITE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39BCD61E" w14:textId="6B84A76F" w:rsidR="00214A0E" w:rsidRDefault="00E61C18" w:rsidP="00214A0E">
      <w:pPr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>Deputy Registrar</w:t>
      </w:r>
      <w:r w:rsidR="0084502C" w:rsidRPr="003A2F4F">
        <w:rPr>
          <w:rFonts w:ascii="Tahoma" w:hAnsi="Tahoma" w:cs="Tahoma"/>
          <w:sz w:val="20"/>
          <w:szCs w:val="20"/>
        </w:rPr>
        <w:t xml:space="preserve"> </w:t>
      </w:r>
    </w:p>
    <w:p w14:paraId="00460411" w14:textId="0802B920" w:rsidR="00214A0E" w:rsidRDefault="00E61C18" w:rsidP="00214A0E">
      <w:pPr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 xml:space="preserve">Head of </w:t>
      </w:r>
      <w:r w:rsidR="00A6157A" w:rsidRPr="003A2F4F">
        <w:rPr>
          <w:rFonts w:ascii="Tahoma" w:hAnsi="Tahoma" w:cs="Tahoma"/>
          <w:sz w:val="20"/>
          <w:szCs w:val="20"/>
        </w:rPr>
        <w:t>R</w:t>
      </w:r>
      <w:r w:rsidRPr="003A2F4F">
        <w:rPr>
          <w:rFonts w:ascii="Tahoma" w:hAnsi="Tahoma" w:cs="Tahoma"/>
          <w:sz w:val="20"/>
          <w:szCs w:val="20"/>
        </w:rPr>
        <w:t>egistry</w:t>
      </w:r>
      <w:r w:rsidR="003A2F4F">
        <w:rPr>
          <w:rFonts w:ascii="Tahoma" w:hAnsi="Tahoma" w:cs="Tahoma"/>
          <w:sz w:val="20"/>
          <w:szCs w:val="20"/>
        </w:rPr>
        <w:t xml:space="preserve"> </w:t>
      </w:r>
    </w:p>
    <w:p w14:paraId="3931024E" w14:textId="4FEE676E" w:rsidR="00214A0E" w:rsidRDefault="00CC3407" w:rsidP="00214A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Deputy Head of Registry – Admissions </w:t>
      </w:r>
    </w:p>
    <w:p w14:paraId="22FAC0DA" w14:textId="08B9834A" w:rsidR="00214A0E" w:rsidRDefault="00B94500" w:rsidP="00214A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Interim Head of </w:t>
      </w:r>
      <w:r w:rsidR="00331E69">
        <w:rPr>
          <w:rFonts w:ascii="Tahoma" w:hAnsi="Tahoma" w:cs="Tahoma"/>
          <w:sz w:val="20"/>
          <w:szCs w:val="20"/>
        </w:rPr>
        <w:t xml:space="preserve">Admissions </w:t>
      </w:r>
    </w:p>
    <w:p w14:paraId="3ECB6150" w14:textId="42D1ACA1" w:rsidR="00214A0E" w:rsidRDefault="002344D1" w:rsidP="00214A0E">
      <w:pPr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 xml:space="preserve">Faculty of Education </w:t>
      </w:r>
      <w:r w:rsidR="00572A4A" w:rsidRPr="003A2F4F">
        <w:rPr>
          <w:rFonts w:ascii="Tahoma" w:hAnsi="Tahoma" w:cs="Tahoma"/>
          <w:sz w:val="20"/>
          <w:szCs w:val="20"/>
        </w:rPr>
        <w:t xml:space="preserve">Office </w:t>
      </w:r>
      <w:r w:rsidR="00A6157A" w:rsidRPr="003A2F4F">
        <w:rPr>
          <w:rFonts w:ascii="Tahoma" w:hAnsi="Tahoma" w:cs="Tahoma"/>
          <w:sz w:val="20"/>
          <w:szCs w:val="20"/>
        </w:rPr>
        <w:t xml:space="preserve">Manager </w:t>
      </w:r>
    </w:p>
    <w:p w14:paraId="26424C12" w14:textId="00D86579" w:rsidR="00214A0E" w:rsidRDefault="00A6157A" w:rsidP="00214A0E">
      <w:pPr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 xml:space="preserve">Senior </w:t>
      </w:r>
      <w:r w:rsidR="00E61C18" w:rsidRPr="003A2F4F">
        <w:rPr>
          <w:rFonts w:ascii="Tahoma" w:hAnsi="Tahoma" w:cs="Tahoma"/>
          <w:sz w:val="20"/>
          <w:szCs w:val="20"/>
        </w:rPr>
        <w:t xml:space="preserve">Administrator for </w:t>
      </w:r>
      <w:proofErr w:type="spellStart"/>
      <w:r w:rsidRPr="003A2F4F">
        <w:rPr>
          <w:rFonts w:ascii="Tahoma" w:hAnsi="Tahoma" w:cs="Tahoma"/>
          <w:sz w:val="20"/>
          <w:szCs w:val="20"/>
        </w:rPr>
        <w:t>Of</w:t>
      </w:r>
      <w:r w:rsidR="00EC1460" w:rsidRPr="003A2F4F">
        <w:rPr>
          <w:rFonts w:ascii="Tahoma" w:hAnsi="Tahoma" w:cs="Tahoma"/>
          <w:sz w:val="20"/>
          <w:szCs w:val="20"/>
        </w:rPr>
        <w:t>STED</w:t>
      </w:r>
      <w:proofErr w:type="spellEnd"/>
      <w:r w:rsidRPr="003A2F4F">
        <w:rPr>
          <w:rFonts w:ascii="Tahoma" w:hAnsi="Tahoma" w:cs="Tahoma"/>
          <w:sz w:val="20"/>
          <w:szCs w:val="20"/>
        </w:rPr>
        <w:t xml:space="preserve"> and Data</w:t>
      </w:r>
      <w:r w:rsidR="0084502C" w:rsidRPr="003A2F4F">
        <w:rPr>
          <w:rFonts w:ascii="Tahoma" w:hAnsi="Tahoma" w:cs="Tahoma"/>
          <w:sz w:val="20"/>
          <w:szCs w:val="20"/>
        </w:rPr>
        <w:t xml:space="preserve"> </w:t>
      </w:r>
    </w:p>
    <w:p w14:paraId="724B3FE4" w14:textId="77777777" w:rsidR="00214A0E" w:rsidRDefault="00B94500" w:rsidP="00214A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Faculty Office Administrator (Linda Clausen) </w:t>
      </w:r>
    </w:p>
    <w:p w14:paraId="3DB3B875" w14:textId="69941DE1" w:rsidR="00317D87" w:rsidRPr="003A2F4F" w:rsidRDefault="00317D87" w:rsidP="00214A0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Management Information Officer (PSD) (Julian Bache)</w:t>
      </w:r>
    </w:p>
    <w:p w14:paraId="32B82B0F" w14:textId="77777777" w:rsidR="00C71C30" w:rsidRDefault="00B854B8" w:rsidP="0014207F">
      <w:pPr>
        <w:rPr>
          <w:rFonts w:ascii="Tahoma" w:hAnsi="Tahoma" w:cs="Tahoma"/>
          <w:sz w:val="20"/>
          <w:szCs w:val="20"/>
          <w:u w:val="single"/>
        </w:rPr>
      </w:pPr>
      <w:r w:rsidRPr="003A2F4F">
        <w:rPr>
          <w:rFonts w:ascii="Tahoma" w:hAnsi="Tahoma" w:cs="Tahoma"/>
          <w:sz w:val="20"/>
          <w:szCs w:val="20"/>
          <w:u w:val="single"/>
        </w:rPr>
        <w:t>Tenure</w:t>
      </w:r>
    </w:p>
    <w:p w14:paraId="5E58AE06" w14:textId="77777777" w:rsidR="00B3632F" w:rsidRPr="003A2F4F" w:rsidRDefault="005D78B8" w:rsidP="0014207F">
      <w:pPr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 xml:space="preserve">Three years for </w:t>
      </w:r>
      <w:r w:rsidR="00A6157A" w:rsidRPr="003A2F4F">
        <w:rPr>
          <w:rFonts w:ascii="Tahoma" w:hAnsi="Tahoma" w:cs="Tahoma"/>
          <w:sz w:val="20"/>
          <w:szCs w:val="20"/>
        </w:rPr>
        <w:t>ex-officio</w:t>
      </w:r>
      <w:r w:rsidRPr="003A2F4F">
        <w:rPr>
          <w:rFonts w:ascii="Tahoma" w:hAnsi="Tahoma" w:cs="Tahoma"/>
          <w:sz w:val="20"/>
          <w:szCs w:val="20"/>
        </w:rPr>
        <w:t xml:space="preserve"> </w:t>
      </w:r>
      <w:r w:rsidR="00E61C18" w:rsidRPr="003A2F4F">
        <w:rPr>
          <w:rFonts w:ascii="Tahoma" w:hAnsi="Tahoma" w:cs="Tahoma"/>
          <w:sz w:val="20"/>
          <w:szCs w:val="20"/>
        </w:rPr>
        <w:t>members</w:t>
      </w:r>
    </w:p>
    <w:p w14:paraId="0B18F247" w14:textId="77777777" w:rsidR="00B854B8" w:rsidRPr="003A2F4F" w:rsidRDefault="00B854B8" w:rsidP="0014207F">
      <w:pPr>
        <w:rPr>
          <w:rFonts w:ascii="Tahoma" w:hAnsi="Tahoma" w:cs="Tahoma"/>
          <w:sz w:val="20"/>
          <w:szCs w:val="20"/>
          <w:u w:val="single"/>
        </w:rPr>
      </w:pPr>
      <w:r w:rsidRPr="003A2F4F">
        <w:rPr>
          <w:rFonts w:ascii="Tahoma" w:hAnsi="Tahoma" w:cs="Tahoma"/>
          <w:sz w:val="20"/>
          <w:szCs w:val="20"/>
          <w:u w:val="single"/>
        </w:rPr>
        <w:t xml:space="preserve">Servicing &amp; </w:t>
      </w:r>
      <w:r w:rsidR="00835635" w:rsidRPr="003A2F4F">
        <w:rPr>
          <w:rFonts w:ascii="Tahoma" w:hAnsi="Tahoma" w:cs="Tahoma"/>
          <w:sz w:val="20"/>
          <w:szCs w:val="20"/>
          <w:u w:val="single"/>
        </w:rPr>
        <w:t>A</w:t>
      </w:r>
      <w:r w:rsidRPr="003A2F4F">
        <w:rPr>
          <w:rFonts w:ascii="Tahoma" w:hAnsi="Tahoma" w:cs="Tahoma"/>
          <w:sz w:val="20"/>
          <w:szCs w:val="20"/>
          <w:u w:val="single"/>
        </w:rPr>
        <w:t>rrangements</w:t>
      </w:r>
      <w:r w:rsidR="00835635" w:rsidRPr="003A2F4F">
        <w:rPr>
          <w:rFonts w:ascii="Tahoma" w:hAnsi="Tahoma" w:cs="Tahoma"/>
          <w:sz w:val="20"/>
          <w:szCs w:val="20"/>
          <w:u w:val="single"/>
        </w:rPr>
        <w:t xml:space="preserve"> for Papers</w:t>
      </w:r>
      <w:r w:rsidRPr="003A2F4F">
        <w:rPr>
          <w:rFonts w:ascii="Tahoma" w:hAnsi="Tahoma" w:cs="Tahoma"/>
          <w:sz w:val="20"/>
          <w:szCs w:val="20"/>
          <w:u w:val="single"/>
        </w:rPr>
        <w:t xml:space="preserve"> </w:t>
      </w:r>
    </w:p>
    <w:p w14:paraId="571335F4" w14:textId="4BDEF108" w:rsidR="00B854B8" w:rsidRPr="003A2F4F" w:rsidRDefault="005D2CC5">
      <w:pPr>
        <w:rPr>
          <w:rFonts w:ascii="Tahoma" w:hAnsi="Tahoma" w:cs="Tahoma"/>
          <w:sz w:val="20"/>
          <w:szCs w:val="20"/>
        </w:rPr>
      </w:pPr>
      <w:r w:rsidRPr="003A2F4F">
        <w:rPr>
          <w:rFonts w:ascii="Tahoma" w:hAnsi="Tahoma" w:cs="Tahoma"/>
          <w:sz w:val="20"/>
          <w:szCs w:val="20"/>
        </w:rPr>
        <w:t>Quality Office</w:t>
      </w:r>
      <w:r w:rsidR="003A2F4F" w:rsidRPr="003A2F4F">
        <w:rPr>
          <w:rFonts w:ascii="Tahoma" w:hAnsi="Tahoma" w:cs="Tahoma"/>
          <w:sz w:val="20"/>
          <w:szCs w:val="20"/>
        </w:rPr>
        <w:t xml:space="preserve"> </w:t>
      </w:r>
    </w:p>
    <w:sectPr w:rsidR="00B854B8" w:rsidRPr="003A2F4F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6DE8A" w14:textId="77777777" w:rsidR="00164726" w:rsidRDefault="00164726" w:rsidP="002608C8">
      <w:pPr>
        <w:spacing w:after="0" w:line="240" w:lineRule="auto"/>
      </w:pPr>
      <w:r>
        <w:separator/>
      </w:r>
    </w:p>
  </w:endnote>
  <w:endnote w:type="continuationSeparator" w:id="0">
    <w:p w14:paraId="3CA2E6C9" w14:textId="77777777" w:rsidR="00164726" w:rsidRDefault="00164726" w:rsidP="0026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462D8" w14:textId="77777777" w:rsidR="003A2F4F" w:rsidRPr="003A2F4F" w:rsidRDefault="003A2F4F" w:rsidP="003A2F4F">
    <w:pPr>
      <w:pStyle w:val="Footer"/>
      <w:rPr>
        <w:rFonts w:ascii="Tahoma" w:hAnsi="Tahoma" w:cs="Tahoma"/>
        <w:sz w:val="16"/>
        <w:szCs w:val="16"/>
      </w:rPr>
    </w:pPr>
    <w:proofErr w:type="spellStart"/>
    <w:r w:rsidRPr="003A2F4F">
      <w:rPr>
        <w:rFonts w:ascii="Tahoma" w:hAnsi="Tahoma" w:cs="Tahoma"/>
        <w:sz w:val="16"/>
        <w:szCs w:val="16"/>
      </w:rPr>
      <w:t>IT</w:t>
    </w:r>
    <w:r w:rsidR="00C40C6F">
      <w:rPr>
        <w:rFonts w:ascii="Tahoma" w:hAnsi="Tahoma" w:cs="Tahoma"/>
        <w:sz w:val="16"/>
        <w:szCs w:val="16"/>
      </w:rPr>
      <w:t>T</w:t>
    </w:r>
    <w:r w:rsidRPr="003A2F4F">
      <w:rPr>
        <w:rFonts w:ascii="Tahoma" w:hAnsi="Tahoma" w:cs="Tahoma"/>
        <w:sz w:val="16"/>
        <w:szCs w:val="16"/>
      </w:rPr>
      <w:t>E</w:t>
    </w:r>
    <w:proofErr w:type="spellEnd"/>
    <w:r w:rsidRPr="003A2F4F">
      <w:rPr>
        <w:rFonts w:ascii="Tahoma" w:hAnsi="Tahoma" w:cs="Tahoma"/>
        <w:sz w:val="16"/>
        <w:szCs w:val="16"/>
      </w:rPr>
      <w:t xml:space="preserve"> </w:t>
    </w:r>
    <w:r w:rsidR="00C40C6F">
      <w:rPr>
        <w:rFonts w:ascii="Tahoma" w:hAnsi="Tahoma" w:cs="Tahoma"/>
        <w:sz w:val="16"/>
        <w:szCs w:val="16"/>
      </w:rPr>
      <w:t xml:space="preserve">Quality Assurance and </w:t>
    </w:r>
    <w:r w:rsidRPr="003A2F4F">
      <w:rPr>
        <w:rFonts w:ascii="Tahoma" w:hAnsi="Tahoma" w:cs="Tahoma"/>
        <w:sz w:val="16"/>
        <w:szCs w:val="16"/>
      </w:rPr>
      <w:t>Compliance Task Group</w:t>
    </w:r>
  </w:p>
  <w:p w14:paraId="6760DF1E" w14:textId="77777777" w:rsidR="003A2F4F" w:rsidRPr="003A2F4F" w:rsidRDefault="003A2F4F" w:rsidP="003A2F4F">
    <w:pPr>
      <w:pStyle w:val="Footer"/>
      <w:rPr>
        <w:rFonts w:ascii="Tahoma" w:hAnsi="Tahoma" w:cs="Tahoma"/>
        <w:sz w:val="16"/>
        <w:szCs w:val="16"/>
      </w:rPr>
    </w:pPr>
    <w:r w:rsidRPr="003A2F4F">
      <w:rPr>
        <w:rFonts w:ascii="Tahoma" w:hAnsi="Tahoma" w:cs="Tahoma"/>
        <w:sz w:val="16"/>
        <w:szCs w:val="16"/>
      </w:rPr>
      <w:t>Terms of Reference 20</w:t>
    </w:r>
    <w:r w:rsidR="00F15772">
      <w:rPr>
        <w:rFonts w:ascii="Tahoma" w:hAnsi="Tahoma" w:cs="Tahoma"/>
        <w:sz w:val="16"/>
        <w:szCs w:val="16"/>
      </w:rPr>
      <w:t>21-22</w:t>
    </w:r>
    <w:r w:rsidRPr="003A2F4F">
      <w:rPr>
        <w:rFonts w:ascii="Tahoma" w:hAnsi="Tahoma" w:cs="Tahoma"/>
        <w:sz w:val="16"/>
        <w:szCs w:val="16"/>
      </w:rPr>
      <w:tab/>
    </w:r>
    <w:r w:rsidRPr="003A2F4F">
      <w:rPr>
        <w:rFonts w:ascii="Tahoma" w:hAnsi="Tahoma" w:cs="Tahoma"/>
        <w:sz w:val="16"/>
        <w:szCs w:val="16"/>
      </w:rPr>
      <w:tab/>
    </w:r>
    <w:sdt>
      <w:sdtPr>
        <w:rPr>
          <w:rFonts w:ascii="Tahoma" w:hAnsi="Tahoma" w:cs="Tahoma"/>
          <w:sz w:val="16"/>
          <w:szCs w:val="16"/>
        </w:rPr>
        <w:id w:val="-12861154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ahoma" w:hAnsi="Tahoma" w:cs="Tahoma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3A2F4F">
              <w:rPr>
                <w:rFonts w:ascii="Tahoma" w:hAnsi="Tahoma" w:cs="Tahoma"/>
                <w:sz w:val="16"/>
                <w:szCs w:val="16"/>
              </w:rPr>
              <w:t xml:space="preserve">Page </w:t>
            </w:r>
            <w:r w:rsidRPr="003A2F4F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3A2F4F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PAGE </w:instrText>
            </w:r>
            <w:r w:rsidRPr="003A2F4F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C40C6F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2</w:t>
            </w:r>
            <w:r w:rsidRPr="003A2F4F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3A2F4F">
              <w:rPr>
                <w:rFonts w:ascii="Tahoma" w:hAnsi="Tahoma" w:cs="Tahoma"/>
                <w:sz w:val="16"/>
                <w:szCs w:val="16"/>
              </w:rPr>
              <w:t xml:space="preserve"> of </w:t>
            </w:r>
            <w:r w:rsidRPr="003A2F4F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/>
            </w:r>
            <w:r w:rsidRPr="003A2F4F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NUMPAGES  </w:instrText>
            </w:r>
            <w:r w:rsidRPr="003A2F4F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="00C40C6F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3</w:t>
            </w:r>
            <w:r w:rsidRPr="003A2F4F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A5C7C43" w14:textId="77777777" w:rsidR="002608C8" w:rsidRPr="003A2F4F" w:rsidRDefault="002608C8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AF7B8" w14:textId="77777777" w:rsidR="00164726" w:rsidRDefault="00164726" w:rsidP="002608C8">
      <w:pPr>
        <w:spacing w:after="0" w:line="240" w:lineRule="auto"/>
      </w:pPr>
      <w:r>
        <w:separator/>
      </w:r>
    </w:p>
  </w:footnote>
  <w:footnote w:type="continuationSeparator" w:id="0">
    <w:p w14:paraId="309DB4C0" w14:textId="77777777" w:rsidR="00164726" w:rsidRDefault="00164726" w:rsidP="0026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35E44"/>
    <w:multiLevelType w:val="hybridMultilevel"/>
    <w:tmpl w:val="84D44C3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63344"/>
    <w:multiLevelType w:val="hybridMultilevel"/>
    <w:tmpl w:val="D1B47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A6857"/>
    <w:multiLevelType w:val="hybridMultilevel"/>
    <w:tmpl w:val="2860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7123E"/>
    <w:multiLevelType w:val="hybridMultilevel"/>
    <w:tmpl w:val="FCBA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97628"/>
    <w:multiLevelType w:val="hybridMultilevel"/>
    <w:tmpl w:val="51A83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6025"/>
    <w:multiLevelType w:val="hybridMultilevel"/>
    <w:tmpl w:val="2D0A3A26"/>
    <w:lvl w:ilvl="0" w:tplc="53D6B68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32AB8"/>
    <w:multiLevelType w:val="hybridMultilevel"/>
    <w:tmpl w:val="45E61B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89D"/>
    <w:rsid w:val="0008713A"/>
    <w:rsid w:val="000D2954"/>
    <w:rsid w:val="0011469B"/>
    <w:rsid w:val="001327AE"/>
    <w:rsid w:val="0014207F"/>
    <w:rsid w:val="00142709"/>
    <w:rsid w:val="001602A7"/>
    <w:rsid w:val="00163073"/>
    <w:rsid w:val="00164726"/>
    <w:rsid w:val="001C7F1E"/>
    <w:rsid w:val="001D6B3E"/>
    <w:rsid w:val="00214A0E"/>
    <w:rsid w:val="00230DFC"/>
    <w:rsid w:val="002344D1"/>
    <w:rsid w:val="00241A2F"/>
    <w:rsid w:val="00255CD5"/>
    <w:rsid w:val="002608C8"/>
    <w:rsid w:val="00285058"/>
    <w:rsid w:val="002C202B"/>
    <w:rsid w:val="002D564E"/>
    <w:rsid w:val="00317D87"/>
    <w:rsid w:val="00331E69"/>
    <w:rsid w:val="00341D90"/>
    <w:rsid w:val="0037718B"/>
    <w:rsid w:val="003A2F4F"/>
    <w:rsid w:val="003C1168"/>
    <w:rsid w:val="003E1C1B"/>
    <w:rsid w:val="004501EF"/>
    <w:rsid w:val="00450D0D"/>
    <w:rsid w:val="00520714"/>
    <w:rsid w:val="00567F7B"/>
    <w:rsid w:val="00572A4A"/>
    <w:rsid w:val="005A6E14"/>
    <w:rsid w:val="005D2CC5"/>
    <w:rsid w:val="005D78B8"/>
    <w:rsid w:val="005F4DCF"/>
    <w:rsid w:val="0061307C"/>
    <w:rsid w:val="00656030"/>
    <w:rsid w:val="006A0627"/>
    <w:rsid w:val="006A7A9E"/>
    <w:rsid w:val="006D1AB9"/>
    <w:rsid w:val="006D5B39"/>
    <w:rsid w:val="006F1B93"/>
    <w:rsid w:val="00737E2A"/>
    <w:rsid w:val="0079752E"/>
    <w:rsid w:val="007A4DEE"/>
    <w:rsid w:val="00835635"/>
    <w:rsid w:val="0084502C"/>
    <w:rsid w:val="00872F35"/>
    <w:rsid w:val="00874E20"/>
    <w:rsid w:val="00897BF6"/>
    <w:rsid w:val="008A44A0"/>
    <w:rsid w:val="008C183A"/>
    <w:rsid w:val="008E3BDE"/>
    <w:rsid w:val="008E5E8D"/>
    <w:rsid w:val="00943D86"/>
    <w:rsid w:val="009917EB"/>
    <w:rsid w:val="009B448F"/>
    <w:rsid w:val="009D262C"/>
    <w:rsid w:val="00A6157A"/>
    <w:rsid w:val="00AD0F2C"/>
    <w:rsid w:val="00AE6AFE"/>
    <w:rsid w:val="00AF2BA1"/>
    <w:rsid w:val="00B3632F"/>
    <w:rsid w:val="00B854B8"/>
    <w:rsid w:val="00B86D8E"/>
    <w:rsid w:val="00B94500"/>
    <w:rsid w:val="00BC71D5"/>
    <w:rsid w:val="00C32CBD"/>
    <w:rsid w:val="00C40C6F"/>
    <w:rsid w:val="00C71C30"/>
    <w:rsid w:val="00C80BB8"/>
    <w:rsid w:val="00CC3407"/>
    <w:rsid w:val="00CD65AF"/>
    <w:rsid w:val="00CE55FD"/>
    <w:rsid w:val="00D21948"/>
    <w:rsid w:val="00D6189D"/>
    <w:rsid w:val="00D927E5"/>
    <w:rsid w:val="00DE4496"/>
    <w:rsid w:val="00E61C18"/>
    <w:rsid w:val="00EC1460"/>
    <w:rsid w:val="00F15772"/>
    <w:rsid w:val="00F23E29"/>
    <w:rsid w:val="00F47D59"/>
    <w:rsid w:val="00F56B27"/>
    <w:rsid w:val="00F85FCF"/>
    <w:rsid w:val="00F87540"/>
    <w:rsid w:val="00F91488"/>
    <w:rsid w:val="00FB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4BA828B"/>
  <w15:docId w15:val="{17588852-0D69-49AC-B261-84E08A38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08C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0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8C8"/>
  </w:style>
  <w:style w:type="paragraph" w:styleId="Footer">
    <w:name w:val="footer"/>
    <w:basedOn w:val="Normal"/>
    <w:link w:val="FooterChar"/>
    <w:uiPriority w:val="99"/>
    <w:unhideWhenUsed/>
    <w:rsid w:val="00260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8C8"/>
  </w:style>
  <w:style w:type="paragraph" w:styleId="ListParagraph">
    <w:name w:val="List Paragraph"/>
    <w:basedOn w:val="Normal"/>
    <w:uiPriority w:val="34"/>
    <w:qFormat/>
    <w:rsid w:val="005D2C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207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07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0714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897B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C7F1E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75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gov.uk/government/publications/initial-teacher-education-ite-inspection-framework-and-handbo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initial-teacher-training-itt-core-content-framewor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initial-teacher-training-criteria/initial-teacher-training-itt-criteria-and-supporting-advi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fficeforstudents.org.uk/advice-and-guidance/regulation/registration-with-the-ofs-a-guide/conditions-of-registr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fficeforstudents.org.uk/advice-and-guidance/regulation/registration-with-the-ofs-a-guide/conditions-of-registratio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B815-D30C-41A3-9DC7-5E910A04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Marnie Davis Wood</dc:creator>
  <cp:lastModifiedBy>Jude Sloan</cp:lastModifiedBy>
  <cp:revision>82</cp:revision>
  <cp:lastPrinted>2022-03-23T14:48:00Z</cp:lastPrinted>
  <dcterms:created xsi:type="dcterms:W3CDTF">2019-10-24T09:56:00Z</dcterms:created>
  <dcterms:modified xsi:type="dcterms:W3CDTF">2022-03-23T14:48:00Z</dcterms:modified>
</cp:coreProperties>
</file>