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6BCAB" w14:textId="77777777" w:rsidR="00227520" w:rsidRDefault="00C67ADF">
      <w:pPr>
        <w:spacing w:after="0"/>
      </w:pPr>
      <w:r>
        <w:rPr>
          <w:b/>
          <w:sz w:val="28"/>
        </w:rPr>
        <w:t xml:space="preserve"> </w:t>
      </w:r>
    </w:p>
    <w:tbl>
      <w:tblPr>
        <w:tblStyle w:val="TableGrid"/>
        <w:tblW w:w="9018" w:type="dxa"/>
        <w:tblInd w:w="5" w:type="dxa"/>
        <w:tblCellMar>
          <w:top w:w="6" w:type="dxa"/>
          <w:left w:w="108" w:type="dxa"/>
          <w:right w:w="45" w:type="dxa"/>
        </w:tblCellMar>
        <w:tblLook w:val="04A0" w:firstRow="1" w:lastRow="0" w:firstColumn="1" w:lastColumn="0" w:noHBand="0" w:noVBand="1"/>
      </w:tblPr>
      <w:tblGrid>
        <w:gridCol w:w="3063"/>
        <w:gridCol w:w="5955"/>
      </w:tblGrid>
      <w:tr w:rsidR="00227520" w14:paraId="00431CA7" w14:textId="77777777">
        <w:trPr>
          <w:trHeight w:val="1846"/>
        </w:trPr>
        <w:tc>
          <w:tcPr>
            <w:tcW w:w="2833" w:type="dxa"/>
            <w:tcBorders>
              <w:top w:val="single" w:sz="4" w:space="0" w:color="000000"/>
              <w:left w:val="single" w:sz="4" w:space="0" w:color="000000"/>
              <w:bottom w:val="single" w:sz="4" w:space="0" w:color="000000"/>
              <w:right w:val="single" w:sz="4" w:space="0" w:color="000000"/>
            </w:tcBorders>
          </w:tcPr>
          <w:p w14:paraId="7620D937" w14:textId="09A23DC9" w:rsidR="00227520" w:rsidRDefault="00C67ADF">
            <w:r>
              <w:rPr>
                <w:noProof/>
              </w:rPr>
              <w:drawing>
                <wp:inline distT="0" distB="0" distL="0" distR="0" wp14:anchorId="7441F768" wp14:editId="09688425">
                  <wp:extent cx="1840865" cy="621665"/>
                  <wp:effectExtent l="0" t="0" r="6985" b="6985"/>
                  <wp:docPr id="7105055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40865" cy="621665"/>
                          </a:xfrm>
                          <a:prstGeom prst="rect">
                            <a:avLst/>
                          </a:prstGeom>
                          <a:noFill/>
                        </pic:spPr>
                      </pic:pic>
                    </a:graphicData>
                  </a:graphic>
                </wp:inline>
              </w:drawing>
            </w:r>
          </w:p>
        </w:tc>
        <w:tc>
          <w:tcPr>
            <w:tcW w:w="6186" w:type="dxa"/>
            <w:tcBorders>
              <w:top w:val="single" w:sz="4" w:space="0" w:color="000000"/>
              <w:left w:val="single" w:sz="4" w:space="0" w:color="000000"/>
              <w:bottom w:val="single" w:sz="4" w:space="0" w:color="000000"/>
              <w:right w:val="single" w:sz="4" w:space="0" w:color="000000"/>
            </w:tcBorders>
          </w:tcPr>
          <w:p w14:paraId="6539FECD" w14:textId="77777777" w:rsidR="00227520" w:rsidRDefault="00C67ADF">
            <w:pPr>
              <w:tabs>
                <w:tab w:val="center" w:pos="1313"/>
                <w:tab w:val="center" w:pos="2378"/>
                <w:tab w:val="center" w:pos="3758"/>
                <w:tab w:val="center" w:pos="4666"/>
                <w:tab w:val="right" w:pos="6033"/>
              </w:tabs>
            </w:pPr>
            <w:r>
              <w:rPr>
                <w:b/>
                <w:sz w:val="28"/>
              </w:rPr>
              <w:t xml:space="preserve">Raising </w:t>
            </w:r>
            <w:r>
              <w:rPr>
                <w:b/>
                <w:sz w:val="28"/>
              </w:rPr>
              <w:tab/>
              <w:t xml:space="preserve">and </w:t>
            </w:r>
            <w:r>
              <w:rPr>
                <w:b/>
                <w:sz w:val="28"/>
              </w:rPr>
              <w:tab/>
              <w:t xml:space="preserve">Escalating </w:t>
            </w:r>
            <w:r>
              <w:rPr>
                <w:b/>
                <w:sz w:val="28"/>
              </w:rPr>
              <w:tab/>
              <w:t xml:space="preserve">Concerns </w:t>
            </w:r>
            <w:r>
              <w:rPr>
                <w:b/>
                <w:sz w:val="28"/>
              </w:rPr>
              <w:tab/>
              <w:t xml:space="preserve">in </w:t>
            </w:r>
            <w:r>
              <w:rPr>
                <w:b/>
                <w:sz w:val="28"/>
              </w:rPr>
              <w:tab/>
              <w:t xml:space="preserve">Practice </w:t>
            </w:r>
          </w:p>
          <w:p w14:paraId="7CF0E6FF" w14:textId="77777777" w:rsidR="00227520" w:rsidRDefault="00C67ADF">
            <w:pPr>
              <w:jc w:val="both"/>
            </w:pPr>
            <w:r>
              <w:rPr>
                <w:b/>
                <w:sz w:val="28"/>
              </w:rPr>
              <w:t xml:space="preserve">Learning Environments - Guidelines for all staff and </w:t>
            </w:r>
          </w:p>
          <w:p w14:paraId="40DAAD63" w14:textId="77777777" w:rsidR="00227520" w:rsidRDefault="00C67ADF">
            <w:r>
              <w:rPr>
                <w:b/>
                <w:sz w:val="28"/>
              </w:rPr>
              <w:t>Pre-Registration Healthcare Students</w:t>
            </w:r>
            <w:r>
              <w:t xml:space="preserve"> </w:t>
            </w:r>
          </w:p>
          <w:p w14:paraId="203A8669" w14:textId="77777777" w:rsidR="00227520" w:rsidRDefault="00C67ADF">
            <w:r>
              <w:rPr>
                <w:b/>
                <w:sz w:val="28"/>
              </w:rPr>
              <w:t xml:space="preserve"> </w:t>
            </w:r>
          </w:p>
        </w:tc>
      </w:tr>
    </w:tbl>
    <w:p w14:paraId="29AED01E" w14:textId="77777777" w:rsidR="00227520" w:rsidRDefault="00C67ADF">
      <w:pPr>
        <w:spacing w:after="158"/>
      </w:pPr>
      <w:r>
        <w:rPr>
          <w:b/>
          <w:sz w:val="28"/>
        </w:rPr>
        <w:t xml:space="preserve"> </w:t>
      </w:r>
    </w:p>
    <w:p w14:paraId="3272D123" w14:textId="77777777" w:rsidR="00227520" w:rsidRDefault="00C67ADF">
      <w:pPr>
        <w:spacing w:after="119"/>
        <w:ind w:left="2160"/>
      </w:pPr>
      <w:r>
        <w:rPr>
          <w:b/>
          <w:sz w:val="28"/>
        </w:rPr>
        <w:t xml:space="preserve"> </w:t>
      </w:r>
    </w:p>
    <w:p w14:paraId="79CE0374" w14:textId="77777777" w:rsidR="00227520" w:rsidRDefault="00C67ADF">
      <w:pPr>
        <w:spacing w:after="0" w:line="251" w:lineRule="auto"/>
        <w:ind w:left="-5" w:right="3" w:hanging="10"/>
        <w:jc w:val="both"/>
      </w:pPr>
      <w:r>
        <w:rPr>
          <w:sz w:val="24"/>
        </w:rPr>
        <w:t xml:space="preserve">All staff and students within the School of Nursing &amp; Allied Health have a professional responsibility to escalate all concerns relating to practice learning environments.  </w:t>
      </w:r>
    </w:p>
    <w:p w14:paraId="6F676DE0" w14:textId="77777777" w:rsidR="00227520" w:rsidRDefault="00C67ADF">
      <w:pPr>
        <w:spacing w:after="0"/>
      </w:pPr>
      <w:r>
        <w:rPr>
          <w:sz w:val="24"/>
        </w:rPr>
        <w:t xml:space="preserve"> </w:t>
      </w:r>
    </w:p>
    <w:p w14:paraId="6DEF2A93" w14:textId="77777777" w:rsidR="00227520" w:rsidRDefault="00C67ADF">
      <w:pPr>
        <w:spacing w:after="168" w:line="251" w:lineRule="auto"/>
        <w:ind w:left="-5" w:right="3" w:hanging="10"/>
        <w:jc w:val="both"/>
      </w:pPr>
      <w:r>
        <w:rPr>
          <w:sz w:val="24"/>
        </w:rPr>
        <w:t xml:space="preserve">The following guidelines enable staff and students to alert the appropriate individuals e.g. Safeguarding Lead and the Programme Team to ensure that all concerns relating to practice learning are dealt with promptly and effectively. In all instances it is important that the process of escalating concerns is initiated as illustrated in the flow charts provided in this document. All concerns raised will be dealt with in partnership between the School of Nursing &amp; Allied Health and practice leads/organisations.  </w:t>
      </w:r>
    </w:p>
    <w:p w14:paraId="0B414184" w14:textId="77777777" w:rsidR="00227520" w:rsidRDefault="00C67ADF">
      <w:pPr>
        <w:spacing w:after="168" w:line="251" w:lineRule="auto"/>
        <w:ind w:left="-5" w:right="3" w:hanging="10"/>
        <w:jc w:val="both"/>
      </w:pPr>
      <w:r>
        <w:rPr>
          <w:sz w:val="24"/>
        </w:rPr>
        <w:t xml:space="preserve">Throughout all investigations there will be a clear, transparent and confidential tracking process in place from initial concern to formal resolution. In addition to support within the University the Health and Wellbeing services available can also provide valuable support:  </w:t>
      </w:r>
    </w:p>
    <w:p w14:paraId="617B1F05" w14:textId="77777777" w:rsidR="00227520" w:rsidRDefault="00C67ADF">
      <w:pPr>
        <w:spacing w:after="159"/>
      </w:pPr>
      <w:r>
        <w:rPr>
          <w:sz w:val="24"/>
        </w:rPr>
        <w:t xml:space="preserve"> </w:t>
      </w:r>
    </w:p>
    <w:p w14:paraId="4B61FA40" w14:textId="77777777" w:rsidR="00227520" w:rsidRDefault="00000000">
      <w:pPr>
        <w:spacing w:after="159"/>
      </w:pPr>
      <w:hyperlink r:id="rId8">
        <w:r w:rsidR="00C67ADF">
          <w:rPr>
            <w:color w:val="0563C1"/>
            <w:sz w:val="24"/>
            <w:u w:val="single" w:color="0563C1"/>
          </w:rPr>
          <w:t xml:space="preserve">Newman Students' Union </w:t>
        </w:r>
      </w:hyperlink>
      <w:hyperlink r:id="rId9">
        <w:r w:rsidR="00C67ADF">
          <w:rPr>
            <w:color w:val="0563C1"/>
            <w:sz w:val="24"/>
            <w:u w:val="single" w:color="0563C1"/>
          </w:rPr>
          <w:t xml:space="preserve">- </w:t>
        </w:r>
      </w:hyperlink>
      <w:hyperlink r:id="rId10">
        <w:r w:rsidR="00C67ADF">
          <w:rPr>
            <w:color w:val="0563C1"/>
            <w:sz w:val="24"/>
            <w:u w:val="single" w:color="0563C1"/>
          </w:rPr>
          <w:t xml:space="preserve">Your Voice </w:t>
        </w:r>
      </w:hyperlink>
      <w:hyperlink r:id="rId11">
        <w:r w:rsidR="00C67ADF">
          <w:rPr>
            <w:color w:val="0563C1"/>
            <w:sz w:val="24"/>
            <w:u w:val="single" w:color="0563C1"/>
          </w:rPr>
          <w:t xml:space="preserve">- </w:t>
        </w:r>
      </w:hyperlink>
      <w:hyperlink r:id="rId12">
        <w:r w:rsidR="00C67ADF">
          <w:rPr>
            <w:color w:val="0563C1"/>
            <w:sz w:val="24"/>
            <w:u w:val="single" w:color="0563C1"/>
          </w:rPr>
          <w:t>Newman Students' Union (newmansu.org)</w:t>
        </w:r>
      </w:hyperlink>
      <w:hyperlink r:id="rId13">
        <w:r w:rsidR="00C67ADF">
          <w:rPr>
            <w:sz w:val="24"/>
          </w:rPr>
          <w:t xml:space="preserve"> </w:t>
        </w:r>
      </w:hyperlink>
    </w:p>
    <w:p w14:paraId="08CA57A0" w14:textId="77777777" w:rsidR="00227520" w:rsidRDefault="00C67ADF">
      <w:pPr>
        <w:spacing w:after="161"/>
      </w:pPr>
      <w:r>
        <w:rPr>
          <w:sz w:val="24"/>
        </w:rPr>
        <w:t xml:space="preserve"> </w:t>
      </w:r>
    </w:p>
    <w:p w14:paraId="55903797" w14:textId="77777777" w:rsidR="00227520" w:rsidRDefault="00C67ADF">
      <w:pPr>
        <w:spacing w:after="219" w:line="251" w:lineRule="auto"/>
        <w:ind w:left="-5" w:right="3" w:hanging="10"/>
        <w:jc w:val="both"/>
      </w:pPr>
      <w:r>
        <w:rPr>
          <w:sz w:val="24"/>
        </w:rPr>
        <w:t xml:space="preserve">There are a number of instances where concerns relating to practice environments may arise, such as: </w:t>
      </w:r>
    </w:p>
    <w:p w14:paraId="18B18AFA" w14:textId="77777777" w:rsidR="00227520" w:rsidRDefault="00C67ADF">
      <w:pPr>
        <w:numPr>
          <w:ilvl w:val="0"/>
          <w:numId w:val="1"/>
        </w:numPr>
        <w:spacing w:after="30" w:line="251" w:lineRule="auto"/>
        <w:ind w:right="3" w:hanging="360"/>
        <w:jc w:val="both"/>
      </w:pPr>
      <w:r>
        <w:rPr>
          <w:sz w:val="24"/>
        </w:rPr>
        <w:t xml:space="preserve">Alleged abuse of a vulnerable adult or child; </w:t>
      </w:r>
    </w:p>
    <w:p w14:paraId="6E2D5A9B" w14:textId="77777777" w:rsidR="00227520" w:rsidRDefault="00C67ADF">
      <w:pPr>
        <w:numPr>
          <w:ilvl w:val="0"/>
          <w:numId w:val="1"/>
        </w:numPr>
        <w:spacing w:after="30" w:line="251" w:lineRule="auto"/>
        <w:ind w:right="3" w:hanging="360"/>
        <w:jc w:val="both"/>
      </w:pPr>
      <w:r>
        <w:rPr>
          <w:sz w:val="24"/>
        </w:rPr>
        <w:t xml:space="preserve">Unsafe or poor practice; </w:t>
      </w:r>
    </w:p>
    <w:p w14:paraId="5CF9D894" w14:textId="77777777" w:rsidR="00227520" w:rsidRDefault="00C67ADF">
      <w:pPr>
        <w:numPr>
          <w:ilvl w:val="0"/>
          <w:numId w:val="1"/>
        </w:numPr>
        <w:spacing w:after="61" w:line="251" w:lineRule="auto"/>
        <w:ind w:right="3" w:hanging="360"/>
        <w:jc w:val="both"/>
      </w:pPr>
      <w:r>
        <w:rPr>
          <w:sz w:val="24"/>
        </w:rPr>
        <w:t xml:space="preserve">Quality of placement experience, for example students not allocated a Practice Supervisor or Practice Assessor or if they are unavailable or unsupportive; </w:t>
      </w:r>
    </w:p>
    <w:p w14:paraId="77F691BC" w14:textId="77777777" w:rsidR="00227520" w:rsidRDefault="00C67ADF">
      <w:pPr>
        <w:numPr>
          <w:ilvl w:val="0"/>
          <w:numId w:val="1"/>
        </w:numPr>
        <w:spacing w:after="58" w:line="251" w:lineRule="auto"/>
        <w:ind w:right="3" w:hanging="360"/>
        <w:jc w:val="both"/>
      </w:pPr>
      <w:r>
        <w:rPr>
          <w:sz w:val="24"/>
        </w:rPr>
        <w:t xml:space="preserve">Quality concerns arising from: Educational Audit, Care Quality Commission (CQC) or Health Education England (HEE) Quality Assurance visit for example, where the safety concerns or quality of learning environment is raised. </w:t>
      </w:r>
    </w:p>
    <w:p w14:paraId="4941CFAF" w14:textId="77777777" w:rsidR="00227520" w:rsidRDefault="00C67ADF">
      <w:pPr>
        <w:numPr>
          <w:ilvl w:val="0"/>
          <w:numId w:val="1"/>
        </w:numPr>
        <w:spacing w:after="139" w:line="251" w:lineRule="auto"/>
        <w:ind w:right="3" w:hanging="360"/>
        <w:jc w:val="both"/>
      </w:pPr>
      <w:r>
        <w:rPr>
          <w:sz w:val="24"/>
        </w:rPr>
        <w:t xml:space="preserve">Issues relating to student concerns such as student support are addressed separately.  </w:t>
      </w:r>
    </w:p>
    <w:p w14:paraId="7CC9461C" w14:textId="77777777" w:rsidR="00227520" w:rsidRDefault="00C67ADF">
      <w:pPr>
        <w:spacing w:after="161"/>
      </w:pPr>
      <w:r>
        <w:rPr>
          <w:sz w:val="24"/>
        </w:rPr>
        <w:t xml:space="preserve"> </w:t>
      </w:r>
    </w:p>
    <w:p w14:paraId="5093A2B2" w14:textId="77777777" w:rsidR="00227520" w:rsidRDefault="00C67ADF">
      <w:pPr>
        <w:pStyle w:val="Heading1"/>
      </w:pPr>
      <w:r>
        <w:t>Student Responsibilities</w:t>
      </w:r>
      <w:r>
        <w:rPr>
          <w:u w:val="none"/>
        </w:rPr>
        <w:t xml:space="preserve">  </w:t>
      </w:r>
    </w:p>
    <w:p w14:paraId="4AD570B0" w14:textId="77777777" w:rsidR="00227520" w:rsidRDefault="00C67ADF">
      <w:pPr>
        <w:spacing w:after="168" w:line="251" w:lineRule="auto"/>
        <w:ind w:left="-5" w:right="3" w:hanging="10"/>
        <w:jc w:val="both"/>
      </w:pPr>
      <w:r>
        <w:rPr>
          <w:sz w:val="24"/>
        </w:rPr>
        <w:t xml:space="preserve">All students within the School of Nursing &amp; Allied Health have a professional responsibility to raise concerns when patients and service users may be at risk of harm or where there is any unsafe or unethical conduct. Concerns may include poor practice or malpractice, patient/service user safety issues, safeguarding issues or any other serious issues.  </w:t>
      </w:r>
    </w:p>
    <w:p w14:paraId="7950EA99" w14:textId="77777777" w:rsidR="00227520" w:rsidRDefault="00C67ADF">
      <w:pPr>
        <w:spacing w:after="168" w:line="251" w:lineRule="auto"/>
        <w:ind w:left="-5" w:right="3" w:hanging="10"/>
        <w:jc w:val="both"/>
      </w:pPr>
      <w:r>
        <w:rPr>
          <w:sz w:val="24"/>
        </w:rPr>
        <w:lastRenderedPageBreak/>
        <w:t xml:space="preserve">In the first instance all students are strongly recommended to discuss concerns with their Practice Assessor/clinical lead/manager/Practice Supervisor. During this process support is also available through the university link lecturer/tutor/clinical supervisor for the identified area. Support is also available through the personal tutors.  </w:t>
      </w:r>
    </w:p>
    <w:p w14:paraId="3044E78B" w14:textId="546B40FC" w:rsidR="00227520" w:rsidRDefault="00C67ADF">
      <w:pPr>
        <w:spacing w:after="168" w:line="251" w:lineRule="auto"/>
        <w:ind w:left="-5" w:right="3" w:hanging="10"/>
        <w:jc w:val="both"/>
      </w:pPr>
      <w:r>
        <w:rPr>
          <w:sz w:val="24"/>
        </w:rPr>
        <w:t xml:space="preserve">All concerns that relate to patient care or safety must be reported immediately to the person in charge of the clinical area in line with local incident / Datix reporting expectations. In addition, you will need to inform a member of the programme team for your programme, and if it is a safeguarding concern, to the Safeguarding Lead at Birmingham Newman University: </w:t>
      </w:r>
    </w:p>
    <w:p w14:paraId="5E7391FE" w14:textId="77777777" w:rsidR="00227520" w:rsidRDefault="00C67ADF">
      <w:pPr>
        <w:spacing w:after="168" w:line="251" w:lineRule="auto"/>
        <w:ind w:left="-5" w:right="3" w:hanging="10"/>
        <w:jc w:val="both"/>
      </w:pPr>
      <w:r>
        <w:rPr>
          <w:sz w:val="24"/>
        </w:rPr>
        <w:t xml:space="preserve">The following pages in this document contain a series of documents outlining information and the processes that should be undertaken for specific events in relation to concerns regarding practice learning and/or safeguarding. </w:t>
      </w:r>
    </w:p>
    <w:p w14:paraId="12B49697" w14:textId="77777777" w:rsidR="00227520" w:rsidRDefault="00C67ADF">
      <w:pPr>
        <w:numPr>
          <w:ilvl w:val="0"/>
          <w:numId w:val="2"/>
        </w:numPr>
        <w:spacing w:after="168" w:line="251" w:lineRule="auto"/>
        <w:ind w:right="3" w:hanging="238"/>
        <w:jc w:val="both"/>
      </w:pPr>
      <w:r>
        <w:rPr>
          <w:sz w:val="24"/>
        </w:rPr>
        <w:t xml:space="preserve">A student has concerns regarding supervision/support  </w:t>
      </w:r>
    </w:p>
    <w:p w14:paraId="3501E61D" w14:textId="77777777" w:rsidR="00227520" w:rsidRDefault="00C67ADF">
      <w:pPr>
        <w:numPr>
          <w:ilvl w:val="0"/>
          <w:numId w:val="2"/>
        </w:numPr>
        <w:spacing w:after="168" w:line="251" w:lineRule="auto"/>
        <w:ind w:right="3" w:hanging="238"/>
        <w:jc w:val="both"/>
      </w:pPr>
      <w:r>
        <w:rPr>
          <w:sz w:val="24"/>
        </w:rPr>
        <w:t xml:space="preserve">A student has concerns regarding practice and/or patient/service user/staff safety  </w:t>
      </w:r>
    </w:p>
    <w:p w14:paraId="24E5B669" w14:textId="77777777" w:rsidR="00227520" w:rsidRDefault="00C67ADF">
      <w:pPr>
        <w:numPr>
          <w:ilvl w:val="0"/>
          <w:numId w:val="2"/>
        </w:numPr>
        <w:spacing w:after="168" w:line="251" w:lineRule="auto"/>
        <w:ind w:right="3" w:hanging="238"/>
        <w:jc w:val="both"/>
      </w:pPr>
      <w:r>
        <w:rPr>
          <w:sz w:val="24"/>
        </w:rPr>
        <w:t xml:space="preserve">The process for the removal of a student(s) from a placement area – (when there are concerns in relation to patient or student safety) </w:t>
      </w:r>
    </w:p>
    <w:p w14:paraId="1B93A5C0" w14:textId="77777777" w:rsidR="00227520" w:rsidRDefault="00C67ADF">
      <w:pPr>
        <w:numPr>
          <w:ilvl w:val="0"/>
          <w:numId w:val="2"/>
        </w:numPr>
        <w:spacing w:after="168" w:line="251" w:lineRule="auto"/>
        <w:ind w:right="3" w:hanging="238"/>
        <w:jc w:val="both"/>
      </w:pPr>
      <w:r>
        <w:rPr>
          <w:sz w:val="24"/>
        </w:rPr>
        <w:t xml:space="preserve">The process where a professional conduct or practice safety issue has been raised about a student or apprentice in practice by the Practice Learning Partner organisation </w:t>
      </w:r>
    </w:p>
    <w:p w14:paraId="0A4A74CB" w14:textId="77777777" w:rsidR="00227520" w:rsidRDefault="00C67ADF">
      <w:pPr>
        <w:numPr>
          <w:ilvl w:val="0"/>
          <w:numId w:val="2"/>
        </w:numPr>
        <w:spacing w:after="113" w:line="325" w:lineRule="auto"/>
        <w:ind w:right="3" w:hanging="238"/>
        <w:jc w:val="both"/>
      </w:pPr>
      <w:r>
        <w:rPr>
          <w:sz w:val="24"/>
        </w:rPr>
        <w:t xml:space="preserve">Process for School of Nursing &amp; Allied Health to alert other Higher Education Institutions (HEIs)/Approved Education Institutions (AEIs) of concerns about placement areas  N.B:  </w:t>
      </w:r>
    </w:p>
    <w:p w14:paraId="656F5281" w14:textId="77777777" w:rsidR="00227520" w:rsidRDefault="00C67ADF">
      <w:pPr>
        <w:pBdr>
          <w:top w:val="single" w:sz="4" w:space="0" w:color="000000"/>
          <w:left w:val="single" w:sz="4" w:space="0" w:color="000000"/>
          <w:bottom w:val="single" w:sz="4" w:space="0" w:color="000000"/>
          <w:right w:val="single" w:sz="4" w:space="0" w:color="000000"/>
        </w:pBdr>
        <w:spacing w:after="161"/>
        <w:ind w:left="-5" w:right="-8" w:hanging="10"/>
      </w:pPr>
      <w:r>
        <w:rPr>
          <w:sz w:val="24"/>
        </w:rPr>
        <w:t xml:space="preserve">These guidelines do not cover a student who is failing in practice, due to lack of progression through the Standards of Proficiency and Skills.  </w:t>
      </w:r>
    </w:p>
    <w:p w14:paraId="7ABD18FE" w14:textId="77777777" w:rsidR="00227520" w:rsidRDefault="00C67ADF">
      <w:pPr>
        <w:pBdr>
          <w:top w:val="single" w:sz="4" w:space="0" w:color="000000"/>
          <w:left w:val="single" w:sz="4" w:space="0" w:color="000000"/>
          <w:bottom w:val="single" w:sz="4" w:space="0" w:color="000000"/>
          <w:right w:val="single" w:sz="4" w:space="0" w:color="000000"/>
        </w:pBdr>
        <w:spacing w:after="161"/>
        <w:ind w:left="-5" w:right="-8" w:hanging="10"/>
      </w:pPr>
      <w:r>
        <w:rPr>
          <w:sz w:val="24"/>
        </w:rPr>
        <w:t xml:space="preserve">Please see separate guidance on the Practice Learning Moodle site and within the MYEPAD /CPAF document if you have concerns about a student’s progress on placement. </w:t>
      </w:r>
    </w:p>
    <w:p w14:paraId="4374CB53" w14:textId="77777777" w:rsidR="00227520" w:rsidRDefault="00C67ADF">
      <w:pPr>
        <w:pBdr>
          <w:top w:val="single" w:sz="4" w:space="0" w:color="000000"/>
          <w:left w:val="single" w:sz="4" w:space="0" w:color="000000"/>
          <w:bottom w:val="single" w:sz="4" w:space="0" w:color="000000"/>
          <w:right w:val="single" w:sz="4" w:space="0" w:color="000000"/>
        </w:pBdr>
        <w:spacing w:after="161" w:line="260" w:lineRule="auto"/>
        <w:ind w:left="-15" w:right="-8"/>
      </w:pPr>
      <w:r>
        <w:rPr>
          <w:sz w:val="24"/>
        </w:rPr>
        <w:t xml:space="preserve">Please see the Attendance Policy for the process to follow if a student’s attendance on placement is a concern. </w:t>
      </w:r>
    </w:p>
    <w:p w14:paraId="72A8FD26" w14:textId="77777777" w:rsidR="00227520" w:rsidRDefault="00C67ADF">
      <w:pPr>
        <w:pBdr>
          <w:top w:val="single" w:sz="4" w:space="0" w:color="000000"/>
          <w:left w:val="single" w:sz="4" w:space="0" w:color="000000"/>
          <w:bottom w:val="single" w:sz="4" w:space="0" w:color="000000"/>
          <w:right w:val="single" w:sz="4" w:space="0" w:color="000000"/>
        </w:pBdr>
        <w:spacing w:after="161"/>
        <w:ind w:left="-5" w:right="-8" w:hanging="10"/>
      </w:pPr>
      <w:r>
        <w:rPr>
          <w:sz w:val="24"/>
        </w:rPr>
        <w:t xml:space="preserve">Concerns that cannot be directly linked to the NMC and other PSRB Codes may not be addressed through Fitness to Practise, but may be taken through the disciplinary procedure. </w:t>
      </w:r>
    </w:p>
    <w:p w14:paraId="58049E61" w14:textId="77777777" w:rsidR="00227520" w:rsidRDefault="00C67ADF">
      <w:pPr>
        <w:pBdr>
          <w:top w:val="single" w:sz="4" w:space="0" w:color="000000"/>
          <w:left w:val="single" w:sz="4" w:space="0" w:color="000000"/>
          <w:bottom w:val="single" w:sz="4" w:space="0" w:color="000000"/>
          <w:right w:val="single" w:sz="4" w:space="0" w:color="000000"/>
        </w:pBdr>
        <w:spacing w:after="227"/>
        <w:ind w:left="-15" w:right="-8"/>
      </w:pPr>
      <w:r>
        <w:rPr>
          <w:sz w:val="24"/>
        </w:rPr>
        <w:t xml:space="preserve"> </w:t>
      </w:r>
    </w:p>
    <w:p w14:paraId="443CC794" w14:textId="77777777" w:rsidR="00227520" w:rsidRDefault="00C67ADF">
      <w:pPr>
        <w:spacing w:after="199" w:line="251" w:lineRule="auto"/>
        <w:ind w:left="370" w:right="3" w:hanging="10"/>
        <w:jc w:val="both"/>
      </w:pPr>
      <w:r>
        <w:rPr>
          <w:sz w:val="24"/>
        </w:rPr>
        <w:t>1.</w:t>
      </w:r>
      <w:r>
        <w:rPr>
          <w:rFonts w:ascii="Arial" w:eastAsia="Arial" w:hAnsi="Arial" w:cs="Arial"/>
          <w:sz w:val="24"/>
        </w:rPr>
        <w:t xml:space="preserve"> </w:t>
      </w:r>
      <w:r>
        <w:rPr>
          <w:sz w:val="24"/>
        </w:rPr>
        <w:t xml:space="preserve"> A student has concerns regarding supervision/support </w:t>
      </w:r>
    </w:p>
    <w:p w14:paraId="6AC15886" w14:textId="77777777" w:rsidR="00227520" w:rsidRDefault="00C67ADF">
      <w:pPr>
        <w:pBdr>
          <w:top w:val="single" w:sz="4" w:space="0" w:color="000000"/>
          <w:left w:val="single" w:sz="4" w:space="0" w:color="000000"/>
          <w:right w:val="single" w:sz="4" w:space="0" w:color="000000"/>
        </w:pBdr>
        <w:shd w:val="clear" w:color="auto" w:fill="EDEDED"/>
        <w:spacing w:after="113"/>
        <w:ind w:left="-5" w:right="3" w:hanging="10"/>
        <w:jc w:val="both"/>
      </w:pPr>
      <w:r>
        <w:rPr>
          <w:sz w:val="24"/>
        </w:rPr>
        <w:t xml:space="preserve">While on placement when students identify a concern relating to their experience of supervision or support processes they should where possible, attempt to discuss this with their Practice Assessor/clinical supervisor/manager in the first instance. </w:t>
      </w:r>
    </w:p>
    <w:p w14:paraId="166DEBC4" w14:textId="77777777" w:rsidR="00227520" w:rsidRDefault="00C67ADF">
      <w:pPr>
        <w:pBdr>
          <w:left w:val="single" w:sz="4" w:space="0" w:color="000000"/>
          <w:bottom w:val="single" w:sz="4" w:space="0" w:color="000000"/>
          <w:right w:val="single" w:sz="4" w:space="0" w:color="000000"/>
        </w:pBdr>
        <w:shd w:val="clear" w:color="auto" w:fill="EDEDED"/>
        <w:spacing w:after="169" w:line="250" w:lineRule="auto"/>
        <w:ind w:left="-5" w:hanging="10"/>
        <w:jc w:val="both"/>
      </w:pPr>
      <w:r>
        <w:rPr>
          <w:sz w:val="24"/>
        </w:rPr>
        <w:t xml:space="preserve">Where this is not possible, they should address their concerns with the Placement Manager, Education Lead, Link Tutor and Personal Tutor as appropriate. </w:t>
      </w:r>
    </w:p>
    <w:p w14:paraId="11FA84F0" w14:textId="77777777" w:rsidR="00227520" w:rsidRDefault="00C67ADF">
      <w:pPr>
        <w:pBdr>
          <w:left w:val="single" w:sz="4" w:space="0" w:color="000000"/>
          <w:bottom w:val="single" w:sz="4" w:space="0" w:color="000000"/>
          <w:right w:val="single" w:sz="4" w:space="0" w:color="000000"/>
        </w:pBdr>
        <w:shd w:val="clear" w:color="auto" w:fill="EDEDED"/>
        <w:spacing w:after="199" w:line="250" w:lineRule="auto"/>
        <w:ind w:left="-5" w:hanging="10"/>
        <w:jc w:val="both"/>
      </w:pPr>
      <w:r>
        <w:rPr>
          <w:sz w:val="24"/>
        </w:rPr>
        <w:t xml:space="preserve">During this process students and personal tutors should ensure that they keep an accurate record of the concerns raised and the measures taken to resolve these. </w:t>
      </w:r>
    </w:p>
    <w:p w14:paraId="52CAB0A5" w14:textId="77777777" w:rsidR="00227520" w:rsidRDefault="00C67ADF">
      <w:pPr>
        <w:spacing w:after="1271"/>
      </w:pPr>
      <w:r>
        <w:rPr>
          <w:sz w:val="24"/>
        </w:rPr>
        <w:lastRenderedPageBreak/>
        <w:t xml:space="preserve"> </w:t>
      </w:r>
    </w:p>
    <w:p w14:paraId="44E79264" w14:textId="77777777" w:rsidR="00227520" w:rsidRDefault="00C67ADF">
      <w:pPr>
        <w:spacing w:after="0"/>
        <w:ind w:left="-5" w:hanging="10"/>
      </w:pPr>
      <w:r>
        <w:rPr>
          <w:sz w:val="24"/>
        </w:rPr>
        <w:t xml:space="preserve">                                                                         </w:t>
      </w:r>
      <w:r>
        <w:rPr>
          <w:sz w:val="96"/>
        </w:rPr>
        <w:t xml:space="preserve">↓ </w:t>
      </w:r>
    </w:p>
    <w:p w14:paraId="02E7E81D" w14:textId="77777777" w:rsidR="00227520" w:rsidRDefault="00C67ADF">
      <w:pPr>
        <w:spacing w:after="159"/>
      </w:pPr>
      <w:r>
        <w:rPr>
          <w:sz w:val="24"/>
        </w:rPr>
        <w:t xml:space="preserve"> </w:t>
      </w:r>
    </w:p>
    <w:p w14:paraId="15C05596" w14:textId="77777777" w:rsidR="00227520" w:rsidRDefault="00C67ADF">
      <w:pPr>
        <w:spacing w:after="191"/>
      </w:pPr>
      <w:r>
        <w:rPr>
          <w:sz w:val="24"/>
        </w:rPr>
        <w:t xml:space="preserve"> </w:t>
      </w:r>
    </w:p>
    <w:p w14:paraId="0EA0260D"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161"/>
        <w:ind w:left="-5" w:right="5" w:hanging="10"/>
        <w:jc w:val="both"/>
      </w:pPr>
      <w:r>
        <w:rPr>
          <w:sz w:val="24"/>
        </w:rPr>
        <w:t xml:space="preserve">Where concerns are resolved no further action may be required or action may involve additional Link Tutor support for the placement (local action plan). </w:t>
      </w:r>
    </w:p>
    <w:p w14:paraId="30E080F0"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161"/>
        <w:ind w:left="-5" w:right="5" w:hanging="10"/>
        <w:jc w:val="both"/>
      </w:pPr>
      <w:r>
        <w:rPr>
          <w:sz w:val="24"/>
        </w:rPr>
        <w:t xml:space="preserve">Where concerns are not resolved they should be escalated to the School of Nursing &amp; Allied Health, regarding further action. </w:t>
      </w:r>
    </w:p>
    <w:p w14:paraId="2FBF4437"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191"/>
        <w:ind w:left="-5" w:right="5" w:hanging="10"/>
        <w:jc w:val="both"/>
      </w:pPr>
      <w:r>
        <w:rPr>
          <w:sz w:val="24"/>
        </w:rPr>
        <w:t xml:space="preserve">Actions will be dependent upon the individual circumstances but may involve additional university link lecturer support or reallocation of a student to an alternative Practice Supervisor/Practice Assessor/clinical manager.  </w:t>
      </w:r>
    </w:p>
    <w:p w14:paraId="57A8C154" w14:textId="77777777" w:rsidR="00227520" w:rsidRDefault="00C67ADF">
      <w:pPr>
        <w:spacing w:after="159"/>
      </w:pPr>
      <w:r>
        <w:rPr>
          <w:sz w:val="24"/>
        </w:rPr>
        <w:t xml:space="preserve"> </w:t>
      </w:r>
    </w:p>
    <w:p w14:paraId="000D9B12" w14:textId="77777777" w:rsidR="00227520" w:rsidRDefault="00C67ADF">
      <w:pPr>
        <w:spacing w:after="159"/>
      </w:pPr>
      <w:r>
        <w:rPr>
          <w:sz w:val="24"/>
        </w:rPr>
        <w:t xml:space="preserve"> </w:t>
      </w:r>
    </w:p>
    <w:p w14:paraId="2502B611" w14:textId="77777777" w:rsidR="00227520" w:rsidRDefault="00C67ADF">
      <w:pPr>
        <w:spacing w:after="161"/>
      </w:pPr>
      <w:r>
        <w:rPr>
          <w:sz w:val="24"/>
        </w:rPr>
        <w:t xml:space="preserve"> </w:t>
      </w:r>
    </w:p>
    <w:p w14:paraId="740F6A50" w14:textId="77777777" w:rsidR="00227520" w:rsidRDefault="00C67ADF">
      <w:pPr>
        <w:spacing w:after="159"/>
      </w:pPr>
      <w:r>
        <w:rPr>
          <w:sz w:val="24"/>
        </w:rPr>
        <w:t xml:space="preserve"> </w:t>
      </w:r>
    </w:p>
    <w:p w14:paraId="0E6E7920" w14:textId="77777777" w:rsidR="00227520" w:rsidRDefault="00C67ADF">
      <w:pPr>
        <w:spacing w:after="161"/>
      </w:pPr>
      <w:r>
        <w:rPr>
          <w:sz w:val="24"/>
        </w:rPr>
        <w:t xml:space="preserve"> </w:t>
      </w:r>
    </w:p>
    <w:p w14:paraId="3F29700E" w14:textId="77777777" w:rsidR="00227520" w:rsidRDefault="00C67ADF">
      <w:pPr>
        <w:spacing w:after="159"/>
      </w:pPr>
      <w:r>
        <w:rPr>
          <w:sz w:val="24"/>
        </w:rPr>
        <w:t xml:space="preserve"> </w:t>
      </w:r>
    </w:p>
    <w:p w14:paraId="33BCA21A" w14:textId="77777777" w:rsidR="00227520" w:rsidRDefault="00C67ADF">
      <w:pPr>
        <w:spacing w:after="159"/>
      </w:pPr>
      <w:r>
        <w:rPr>
          <w:sz w:val="24"/>
        </w:rPr>
        <w:t xml:space="preserve"> </w:t>
      </w:r>
    </w:p>
    <w:p w14:paraId="66A39131" w14:textId="77777777" w:rsidR="00227520" w:rsidRDefault="00C67ADF">
      <w:pPr>
        <w:spacing w:after="161"/>
      </w:pPr>
      <w:r>
        <w:rPr>
          <w:sz w:val="24"/>
        </w:rPr>
        <w:t xml:space="preserve"> </w:t>
      </w:r>
    </w:p>
    <w:p w14:paraId="2C05E529" w14:textId="77777777" w:rsidR="00227520" w:rsidRDefault="00C67ADF">
      <w:pPr>
        <w:spacing w:after="159"/>
      </w:pPr>
      <w:r>
        <w:rPr>
          <w:sz w:val="24"/>
        </w:rPr>
        <w:t xml:space="preserve"> </w:t>
      </w:r>
    </w:p>
    <w:p w14:paraId="79351FFF" w14:textId="77777777" w:rsidR="00227520" w:rsidRDefault="00C67ADF">
      <w:pPr>
        <w:spacing w:after="198"/>
      </w:pPr>
      <w:r>
        <w:rPr>
          <w:sz w:val="24"/>
        </w:rPr>
        <w:t xml:space="preserve"> </w:t>
      </w:r>
    </w:p>
    <w:p w14:paraId="06196C22" w14:textId="77777777" w:rsidR="00227520" w:rsidRDefault="00C67ADF">
      <w:pPr>
        <w:spacing w:after="0"/>
        <w:ind w:left="40"/>
        <w:jc w:val="center"/>
      </w:pPr>
      <w:r>
        <w:rPr>
          <w:sz w:val="24"/>
        </w:rPr>
        <w:t>2.</w:t>
      </w:r>
      <w:r>
        <w:rPr>
          <w:rFonts w:ascii="Arial" w:eastAsia="Arial" w:hAnsi="Arial" w:cs="Arial"/>
          <w:sz w:val="24"/>
        </w:rPr>
        <w:t xml:space="preserve"> </w:t>
      </w:r>
      <w:r>
        <w:rPr>
          <w:sz w:val="24"/>
        </w:rPr>
        <w:t xml:space="preserve">A student has concerns regarding practice and/or patient/service user/staff safety  </w:t>
      </w:r>
    </w:p>
    <w:p w14:paraId="1855F672" w14:textId="77777777" w:rsidR="00227520" w:rsidRDefault="00C67ADF">
      <w:pPr>
        <w:spacing w:after="192"/>
        <w:ind w:left="720"/>
      </w:pPr>
      <w:r>
        <w:rPr>
          <w:sz w:val="24"/>
        </w:rPr>
        <w:t xml:space="preserve"> </w:t>
      </w:r>
    </w:p>
    <w:p w14:paraId="34DC3FB1" w14:textId="77777777" w:rsidR="00227520" w:rsidRDefault="00C67ADF">
      <w:pPr>
        <w:pBdr>
          <w:top w:val="single" w:sz="4" w:space="0" w:color="000000"/>
          <w:left w:val="single" w:sz="4" w:space="0" w:color="000000"/>
          <w:right w:val="single" w:sz="4" w:space="0" w:color="000000"/>
        </w:pBdr>
        <w:shd w:val="clear" w:color="auto" w:fill="EDEDED"/>
        <w:spacing w:after="113"/>
        <w:ind w:left="-5" w:right="3" w:hanging="10"/>
        <w:jc w:val="both"/>
      </w:pPr>
      <w:r>
        <w:rPr>
          <w:sz w:val="24"/>
        </w:rPr>
        <w:t xml:space="preserve">While in practice, where a student identifies or raises a concern regarding practice and/or patient/service user or staff safety they should raise this immediately with their Practice Supervisor/ Practice Assessor/clinical supervisor/ward manager/team manager/.  </w:t>
      </w:r>
    </w:p>
    <w:p w14:paraId="00843FB3" w14:textId="77777777" w:rsidR="00227520" w:rsidRDefault="00C67ADF">
      <w:pPr>
        <w:pBdr>
          <w:left w:val="single" w:sz="4" w:space="0" w:color="000000"/>
          <w:bottom w:val="single" w:sz="4" w:space="0" w:color="000000"/>
          <w:right w:val="single" w:sz="4" w:space="0" w:color="000000"/>
        </w:pBdr>
        <w:shd w:val="clear" w:color="auto" w:fill="EDEDED"/>
        <w:spacing w:after="171" w:line="250" w:lineRule="auto"/>
        <w:ind w:left="-5" w:hanging="10"/>
        <w:jc w:val="both"/>
      </w:pPr>
      <w:r>
        <w:rPr>
          <w:sz w:val="24"/>
        </w:rPr>
        <w:t xml:space="preserve"> Where this is not possible, they should address their concerns immediately with the practice learning team in the organisation and the Link Tutor for their area. During this process students and Link Tutors should ensure that they keep an accurate record (statement) of the concerns raised and the measures taken to resolve these.  </w:t>
      </w:r>
    </w:p>
    <w:p w14:paraId="6C8C53B2" w14:textId="660692EE" w:rsidR="00227520" w:rsidRDefault="00C67ADF">
      <w:pPr>
        <w:pBdr>
          <w:left w:val="single" w:sz="4" w:space="0" w:color="000000"/>
          <w:bottom w:val="single" w:sz="4" w:space="0" w:color="000000"/>
          <w:right w:val="single" w:sz="4" w:space="0" w:color="000000"/>
        </w:pBdr>
        <w:shd w:val="clear" w:color="auto" w:fill="EDEDED"/>
        <w:spacing w:after="171" w:line="250" w:lineRule="auto"/>
        <w:ind w:left="-5" w:hanging="10"/>
        <w:jc w:val="both"/>
      </w:pPr>
      <w:r>
        <w:rPr>
          <w:sz w:val="24"/>
        </w:rPr>
        <w:lastRenderedPageBreak/>
        <w:t xml:space="preserve">Statements and forms are forwarded to the Programme Manager and Safeguarding Lead at Birmingham Newman University for action. </w:t>
      </w:r>
    </w:p>
    <w:p w14:paraId="5E73D12B" w14:textId="77777777" w:rsidR="00227520" w:rsidRDefault="00C67ADF">
      <w:pPr>
        <w:pBdr>
          <w:left w:val="single" w:sz="4" w:space="0" w:color="000000"/>
          <w:bottom w:val="single" w:sz="4" w:space="0" w:color="000000"/>
          <w:right w:val="single" w:sz="4" w:space="0" w:color="000000"/>
        </w:pBdr>
        <w:shd w:val="clear" w:color="auto" w:fill="EDEDED"/>
        <w:spacing w:after="949" w:line="250" w:lineRule="auto"/>
        <w:ind w:left="-5" w:hanging="10"/>
        <w:jc w:val="both"/>
      </w:pPr>
      <w:r>
        <w:rPr>
          <w:sz w:val="24"/>
        </w:rPr>
        <w:t xml:space="preserve">Students may also wish to contact their Personal Tutor and university services for additional support and should be signposted to these by the Link Tutor. </w:t>
      </w:r>
    </w:p>
    <w:p w14:paraId="1C2C4D98" w14:textId="77777777" w:rsidR="00227520" w:rsidRDefault="00C67ADF">
      <w:pPr>
        <w:tabs>
          <w:tab w:val="center" w:pos="4321"/>
        </w:tabs>
        <w:spacing w:after="0"/>
        <w:ind w:left="-15"/>
      </w:pPr>
      <w:r>
        <w:rPr>
          <w:sz w:val="24"/>
        </w:rPr>
        <w:t xml:space="preserve"> </w:t>
      </w:r>
      <w:r>
        <w:rPr>
          <w:sz w:val="24"/>
        </w:rPr>
        <w:tab/>
      </w:r>
      <w:r>
        <w:rPr>
          <w:sz w:val="96"/>
        </w:rPr>
        <w:t>↓</w:t>
      </w:r>
      <w:r>
        <w:rPr>
          <w:sz w:val="24"/>
        </w:rPr>
        <w:t xml:space="preserve"> </w:t>
      </w:r>
    </w:p>
    <w:tbl>
      <w:tblPr>
        <w:tblStyle w:val="TableGrid"/>
        <w:tblW w:w="9251" w:type="dxa"/>
        <w:tblInd w:w="-112" w:type="dxa"/>
        <w:tblCellMar>
          <w:top w:w="71" w:type="dxa"/>
          <w:left w:w="112" w:type="dxa"/>
          <w:right w:w="58" w:type="dxa"/>
        </w:tblCellMar>
        <w:tblLook w:val="04A0" w:firstRow="1" w:lastRow="0" w:firstColumn="1" w:lastColumn="0" w:noHBand="0" w:noVBand="1"/>
      </w:tblPr>
      <w:tblGrid>
        <w:gridCol w:w="9251"/>
      </w:tblGrid>
      <w:tr w:rsidR="00227520" w14:paraId="029CACDF" w14:textId="77777777">
        <w:trPr>
          <w:trHeight w:val="4006"/>
        </w:trPr>
        <w:tc>
          <w:tcPr>
            <w:tcW w:w="9251" w:type="dxa"/>
            <w:tcBorders>
              <w:top w:val="single" w:sz="4" w:space="0" w:color="000000"/>
              <w:left w:val="single" w:sz="4" w:space="0" w:color="000000"/>
              <w:bottom w:val="single" w:sz="4" w:space="0" w:color="000000"/>
              <w:right w:val="single" w:sz="4" w:space="0" w:color="000000"/>
            </w:tcBorders>
            <w:shd w:val="clear" w:color="auto" w:fill="EDEDED"/>
          </w:tcPr>
          <w:p w14:paraId="6AA97411" w14:textId="77777777" w:rsidR="00227520" w:rsidRDefault="00C67ADF">
            <w:pPr>
              <w:spacing w:after="159"/>
              <w:ind w:right="55"/>
              <w:jc w:val="both"/>
            </w:pPr>
            <w:r>
              <w:rPr>
                <w:sz w:val="24"/>
              </w:rPr>
              <w:t xml:space="preserve">Depending on the nature of the concern either the Programme Team or Safeguarding Lead within the School of Nursing &amp; Allied Health will be responsible for escalating the concern and completing documents/statements to the appropriate practice/safeguarding mechanisms for the organisation in question. </w:t>
            </w:r>
          </w:p>
          <w:p w14:paraId="01D6A4B2" w14:textId="77777777" w:rsidR="00227520" w:rsidRDefault="00C67ADF">
            <w:pPr>
              <w:spacing w:after="158" w:line="260" w:lineRule="auto"/>
              <w:jc w:val="both"/>
            </w:pPr>
            <w:r>
              <w:rPr>
                <w:sz w:val="24"/>
              </w:rPr>
              <w:t xml:space="preserve">Whenever possible support will be given to allow the student to remain in the practice area, depending on the nature of the concern. </w:t>
            </w:r>
          </w:p>
          <w:p w14:paraId="2278DF16" w14:textId="77777777" w:rsidR="00227520" w:rsidRDefault="00C67ADF">
            <w:pPr>
              <w:spacing w:after="161"/>
            </w:pPr>
            <w:r>
              <w:rPr>
                <w:sz w:val="24"/>
              </w:rPr>
              <w:t xml:space="preserve">Further actions will be dependent on the nature of the concern. They may include: </w:t>
            </w:r>
          </w:p>
          <w:p w14:paraId="12131F19" w14:textId="77777777" w:rsidR="00227520" w:rsidRDefault="00C67ADF">
            <w:pPr>
              <w:ind w:right="4113"/>
            </w:pPr>
            <w:r>
              <w:rPr>
                <w:sz w:val="24"/>
              </w:rPr>
              <w:t xml:space="preserve">i. Removal of a student(s) from the placement area ii. Communication with other HEIs/AEIs iii. Suspension of a clinical area (with re-audit plan) </w:t>
            </w:r>
          </w:p>
        </w:tc>
      </w:tr>
    </w:tbl>
    <w:p w14:paraId="4FA08F9F" w14:textId="77777777" w:rsidR="00227520" w:rsidRDefault="00C67ADF">
      <w:pPr>
        <w:tabs>
          <w:tab w:val="center" w:pos="4289"/>
        </w:tabs>
        <w:spacing w:after="0"/>
        <w:ind w:left="-15"/>
      </w:pPr>
      <w:r>
        <w:rPr>
          <w:sz w:val="24"/>
        </w:rPr>
        <w:t xml:space="preserve"> </w:t>
      </w:r>
      <w:r>
        <w:rPr>
          <w:sz w:val="24"/>
        </w:rPr>
        <w:tab/>
      </w:r>
      <w:r>
        <w:rPr>
          <w:sz w:val="96"/>
        </w:rPr>
        <w:t>↓</w:t>
      </w:r>
      <w:r>
        <w:rPr>
          <w:sz w:val="24"/>
        </w:rPr>
        <w:t xml:space="preserve"> </w:t>
      </w:r>
    </w:p>
    <w:p w14:paraId="5DB2B1D6"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191"/>
        <w:ind w:left="-5" w:right="5" w:hanging="10"/>
        <w:jc w:val="both"/>
      </w:pPr>
      <w:r>
        <w:rPr>
          <w:sz w:val="24"/>
        </w:rPr>
        <w:t xml:space="preserve">In all cases feedback will be made available to the student following investigation and an education lead / nominated person within the organisation. </w:t>
      </w:r>
    </w:p>
    <w:p w14:paraId="2B5D3EE0" w14:textId="77777777" w:rsidR="00227520" w:rsidRDefault="00C67ADF">
      <w:pPr>
        <w:spacing w:after="159"/>
      </w:pPr>
      <w:r>
        <w:rPr>
          <w:sz w:val="24"/>
        </w:rPr>
        <w:t xml:space="preserve"> </w:t>
      </w:r>
    </w:p>
    <w:p w14:paraId="3341F2F0" w14:textId="77777777" w:rsidR="00227520" w:rsidRDefault="00C67ADF">
      <w:pPr>
        <w:spacing w:after="161"/>
      </w:pPr>
      <w:r>
        <w:rPr>
          <w:sz w:val="24"/>
        </w:rPr>
        <w:t xml:space="preserve"> </w:t>
      </w:r>
    </w:p>
    <w:p w14:paraId="0411B9AF" w14:textId="77777777" w:rsidR="00227520" w:rsidRDefault="00C67ADF">
      <w:pPr>
        <w:spacing w:after="196"/>
      </w:pPr>
      <w:r>
        <w:rPr>
          <w:sz w:val="24"/>
        </w:rPr>
        <w:t xml:space="preserve"> </w:t>
      </w:r>
    </w:p>
    <w:p w14:paraId="370D0F8B" w14:textId="77777777" w:rsidR="00227520" w:rsidRDefault="00C67ADF">
      <w:pPr>
        <w:spacing w:after="198" w:line="251" w:lineRule="auto"/>
        <w:ind w:left="720" w:right="3" w:hanging="360"/>
        <w:jc w:val="both"/>
      </w:pPr>
      <w:r>
        <w:rPr>
          <w:sz w:val="24"/>
        </w:rPr>
        <w:t>3.</w:t>
      </w:r>
      <w:r>
        <w:rPr>
          <w:rFonts w:ascii="Arial" w:eastAsia="Arial" w:hAnsi="Arial" w:cs="Arial"/>
          <w:sz w:val="24"/>
        </w:rPr>
        <w:t xml:space="preserve"> </w:t>
      </w:r>
      <w:r>
        <w:rPr>
          <w:sz w:val="24"/>
        </w:rPr>
        <w:t xml:space="preserve">The process for the removal of a student(s) from a placement area – (when there are concerns in relation to patient or student safety) </w:t>
      </w:r>
    </w:p>
    <w:p w14:paraId="0B1A1E57" w14:textId="4C5793FB" w:rsidR="00227520" w:rsidRDefault="00C67ADF">
      <w:pPr>
        <w:pBdr>
          <w:top w:val="single" w:sz="4" w:space="0" w:color="000000"/>
          <w:left w:val="single" w:sz="4" w:space="0" w:color="000000"/>
          <w:right w:val="single" w:sz="4" w:space="0" w:color="000000"/>
        </w:pBdr>
        <w:shd w:val="clear" w:color="auto" w:fill="EDEDED"/>
        <w:spacing w:after="415"/>
        <w:ind w:left="-5" w:right="3" w:hanging="10"/>
        <w:jc w:val="both"/>
      </w:pPr>
      <w:r>
        <w:rPr>
          <w:sz w:val="24"/>
        </w:rPr>
        <w:t xml:space="preserve">Where there is a serious concern about the </w:t>
      </w:r>
      <w:r>
        <w:rPr>
          <w:sz w:val="24"/>
          <w:u w:val="single" w:color="000000"/>
        </w:rPr>
        <w:t>student practice learning environment or safety</w:t>
      </w:r>
      <w:r>
        <w:rPr>
          <w:sz w:val="24"/>
        </w:rPr>
        <w:t xml:space="preserve"> </w:t>
      </w:r>
      <w:r>
        <w:rPr>
          <w:sz w:val="24"/>
          <w:u w:val="single" w:color="000000"/>
        </w:rPr>
        <w:t xml:space="preserve">of the student(s) </w:t>
      </w:r>
      <w:r>
        <w:rPr>
          <w:sz w:val="24"/>
        </w:rPr>
        <w:t xml:space="preserve">this should be immediately raised with the appropriate Practice Learning Managers within the organisation and the Programme Team at Birmingham Newman University. The issue needs to be logged in writing. </w:t>
      </w:r>
    </w:p>
    <w:p w14:paraId="040AB717" w14:textId="77777777" w:rsidR="00227520" w:rsidRDefault="00C67ADF">
      <w:pPr>
        <w:tabs>
          <w:tab w:val="center" w:pos="4099"/>
        </w:tabs>
        <w:spacing w:after="11"/>
        <w:ind w:left="-15"/>
      </w:pPr>
      <w:r>
        <w:rPr>
          <w:sz w:val="24"/>
        </w:rPr>
        <w:t xml:space="preserve"> </w:t>
      </w:r>
      <w:r>
        <w:rPr>
          <w:sz w:val="24"/>
        </w:rPr>
        <w:tab/>
      </w:r>
      <w:r>
        <w:rPr>
          <w:sz w:val="44"/>
        </w:rPr>
        <w:t>↓</w:t>
      </w:r>
      <w:r>
        <w:rPr>
          <w:sz w:val="24"/>
        </w:rPr>
        <w:t xml:space="preserve"> </w:t>
      </w:r>
    </w:p>
    <w:p w14:paraId="2A1EABC6"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161"/>
        <w:ind w:left="-5" w:right="5" w:hanging="10"/>
        <w:jc w:val="both"/>
      </w:pPr>
      <w:r>
        <w:rPr>
          <w:sz w:val="24"/>
        </w:rPr>
        <w:lastRenderedPageBreak/>
        <w:t xml:space="preserve">The Practice Learning Team within the organisation and the University should immediately ascertain: </w:t>
      </w:r>
    </w:p>
    <w:p w14:paraId="75B08A2B" w14:textId="77777777" w:rsidR="00227520" w:rsidRDefault="00C67ADF">
      <w:pPr>
        <w:numPr>
          <w:ilvl w:val="0"/>
          <w:numId w:val="3"/>
        </w:numPr>
        <w:pBdr>
          <w:top w:val="single" w:sz="4" w:space="0" w:color="000000"/>
          <w:left w:val="single" w:sz="4" w:space="0" w:color="000000"/>
          <w:bottom w:val="single" w:sz="4" w:space="0" w:color="000000"/>
          <w:right w:val="single" w:sz="4" w:space="0" w:color="000000"/>
        </w:pBdr>
        <w:shd w:val="clear" w:color="auto" w:fill="EDEDED"/>
        <w:spacing w:after="161"/>
        <w:ind w:left="239" w:right="5" w:hanging="254"/>
        <w:jc w:val="both"/>
      </w:pPr>
      <w:r>
        <w:rPr>
          <w:sz w:val="24"/>
        </w:rPr>
        <w:t xml:space="preserve">if a jointly agreed action plan can address and resolve the situation. </w:t>
      </w:r>
    </w:p>
    <w:p w14:paraId="10B17927"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161"/>
        <w:ind w:left="-5" w:right="5" w:hanging="10"/>
        <w:jc w:val="both"/>
      </w:pPr>
      <w:r>
        <w:rPr>
          <w:sz w:val="24"/>
        </w:rPr>
        <w:t xml:space="preserve">or </w:t>
      </w:r>
    </w:p>
    <w:p w14:paraId="03818571" w14:textId="77777777" w:rsidR="00227520" w:rsidRDefault="00C67ADF">
      <w:pPr>
        <w:numPr>
          <w:ilvl w:val="0"/>
          <w:numId w:val="3"/>
        </w:numPr>
        <w:pBdr>
          <w:top w:val="single" w:sz="4" w:space="0" w:color="000000"/>
          <w:left w:val="single" w:sz="4" w:space="0" w:color="000000"/>
          <w:bottom w:val="single" w:sz="4" w:space="0" w:color="000000"/>
          <w:right w:val="single" w:sz="4" w:space="0" w:color="000000"/>
        </w:pBdr>
        <w:shd w:val="clear" w:color="auto" w:fill="EDEDED"/>
        <w:spacing w:after="161"/>
        <w:ind w:left="239" w:right="5" w:hanging="254"/>
        <w:jc w:val="both"/>
      </w:pPr>
      <w:r>
        <w:rPr>
          <w:sz w:val="24"/>
        </w:rPr>
        <w:t xml:space="preserve">whether there is immediate removal of students from the placement. </w:t>
      </w:r>
    </w:p>
    <w:p w14:paraId="1AE90357"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415"/>
        <w:ind w:left="-5" w:right="5" w:hanging="10"/>
        <w:jc w:val="both"/>
      </w:pPr>
      <w:r>
        <w:rPr>
          <w:sz w:val="24"/>
        </w:rPr>
        <w:t xml:space="preserve">If a jointly agreed action plan is employed, actions to be undertaken must be time limited and assigned to a named individual. </w:t>
      </w:r>
    </w:p>
    <w:p w14:paraId="7831D86D" w14:textId="77777777" w:rsidR="00227520" w:rsidRDefault="00C67ADF">
      <w:pPr>
        <w:tabs>
          <w:tab w:val="center" w:pos="4205"/>
        </w:tabs>
        <w:spacing w:after="11"/>
        <w:ind w:left="-15"/>
      </w:pPr>
      <w:r>
        <w:rPr>
          <w:sz w:val="24"/>
        </w:rPr>
        <w:t xml:space="preserve"> </w:t>
      </w:r>
      <w:r>
        <w:rPr>
          <w:sz w:val="24"/>
        </w:rPr>
        <w:tab/>
      </w:r>
      <w:r>
        <w:rPr>
          <w:sz w:val="44"/>
        </w:rPr>
        <w:t>↓</w:t>
      </w:r>
      <w:r>
        <w:rPr>
          <w:sz w:val="24"/>
        </w:rPr>
        <w:t xml:space="preserve"> </w:t>
      </w:r>
    </w:p>
    <w:p w14:paraId="2B48B3CD"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161"/>
        <w:ind w:left="-5" w:right="5" w:hanging="10"/>
        <w:jc w:val="both"/>
      </w:pPr>
      <w:r>
        <w:rPr>
          <w:sz w:val="24"/>
        </w:rPr>
        <w:t xml:space="preserve">In the event of immediate removal of students: </w:t>
      </w:r>
    </w:p>
    <w:p w14:paraId="1F269006"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82" w:line="324" w:lineRule="auto"/>
        <w:ind w:left="-15" w:right="5"/>
      </w:pPr>
      <w:r>
        <w:rPr>
          <w:sz w:val="24"/>
        </w:rPr>
        <w:t xml:space="preserve">i. The Education Lead/Director of Nursing for the Trust/Organisation to be informed to agree a joint action plan and timeframe for actions. ii. The relevant Head of Subject to be informed </w:t>
      </w:r>
    </w:p>
    <w:p w14:paraId="256FF3C6"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79" w:line="325" w:lineRule="auto"/>
        <w:ind w:left="-5" w:right="5" w:hanging="10"/>
        <w:jc w:val="both"/>
      </w:pPr>
      <w:r>
        <w:rPr>
          <w:sz w:val="24"/>
        </w:rPr>
        <w:t xml:space="preserve">iii. The clinical area should be immediately deactivated on the allocations and audit system (with re-audit plan). iv. Communication with other HEIs as appropriate. </w:t>
      </w:r>
    </w:p>
    <w:p w14:paraId="52E7B23E"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401"/>
        <w:ind w:left="-5" w:right="5" w:hanging="10"/>
        <w:jc w:val="both"/>
      </w:pPr>
      <w:r>
        <w:rPr>
          <w:sz w:val="24"/>
        </w:rPr>
        <w:t xml:space="preserve">During this process accurate record of the concerns raised and measures taken to resolve should be maintained. </w:t>
      </w:r>
    </w:p>
    <w:p w14:paraId="1DADE106" w14:textId="77777777" w:rsidR="00227520" w:rsidRDefault="00C67ADF">
      <w:pPr>
        <w:spacing w:after="6"/>
        <w:ind w:right="17"/>
        <w:jc w:val="center"/>
      </w:pPr>
      <w:r>
        <w:rPr>
          <w:sz w:val="44"/>
        </w:rPr>
        <w:t>↓</w:t>
      </w:r>
      <w:r>
        <w:rPr>
          <w:sz w:val="24"/>
        </w:rPr>
        <w:t xml:space="preserve"> </w:t>
      </w:r>
    </w:p>
    <w:p w14:paraId="329E5742"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1"/>
        <w:ind w:left="-5" w:right="5" w:hanging="10"/>
        <w:jc w:val="both"/>
      </w:pPr>
      <w:r>
        <w:rPr>
          <w:sz w:val="24"/>
        </w:rPr>
        <w:t xml:space="preserve">Health Education England normally notified as required.  </w:t>
      </w:r>
    </w:p>
    <w:p w14:paraId="7F863BAA" w14:textId="77777777" w:rsidR="00227520" w:rsidRDefault="00C67ADF">
      <w:pPr>
        <w:numPr>
          <w:ilvl w:val="0"/>
          <w:numId w:val="4"/>
        </w:numPr>
        <w:pBdr>
          <w:top w:val="single" w:sz="4" w:space="0" w:color="000000"/>
          <w:left w:val="single" w:sz="4" w:space="0" w:color="000000"/>
          <w:bottom w:val="single" w:sz="4" w:space="0" w:color="000000"/>
          <w:right w:val="single" w:sz="4" w:space="0" w:color="000000"/>
        </w:pBdr>
        <w:shd w:val="clear" w:color="auto" w:fill="EDEDED"/>
        <w:spacing w:after="14"/>
        <w:ind w:left="265" w:right="5" w:hanging="280"/>
        <w:jc w:val="both"/>
      </w:pPr>
      <w:r>
        <w:rPr>
          <w:sz w:val="24"/>
        </w:rPr>
        <w:t xml:space="preserve">Reported to professional regulators via annual monitoring report.  </w:t>
      </w:r>
    </w:p>
    <w:p w14:paraId="5BABEDE7" w14:textId="77777777" w:rsidR="00227520" w:rsidRDefault="00C67ADF">
      <w:pPr>
        <w:numPr>
          <w:ilvl w:val="0"/>
          <w:numId w:val="4"/>
        </w:numPr>
        <w:pBdr>
          <w:top w:val="single" w:sz="4" w:space="0" w:color="000000"/>
          <w:left w:val="single" w:sz="4" w:space="0" w:color="000000"/>
          <w:bottom w:val="single" w:sz="4" w:space="0" w:color="000000"/>
          <w:right w:val="single" w:sz="4" w:space="0" w:color="000000"/>
        </w:pBdr>
        <w:shd w:val="clear" w:color="auto" w:fill="EDEDED"/>
        <w:spacing w:after="6"/>
        <w:ind w:left="265" w:right="5" w:hanging="280"/>
        <w:jc w:val="both"/>
      </w:pPr>
      <w:r>
        <w:rPr>
          <w:sz w:val="24"/>
        </w:rPr>
        <w:t xml:space="preserve">Or exceptional reporting when appropriate to both HEE &amp; professional regulators </w:t>
      </w:r>
      <w:r>
        <w:rPr>
          <w:rFonts w:ascii="Arial" w:eastAsia="Arial" w:hAnsi="Arial" w:cs="Arial"/>
          <w:sz w:val="24"/>
        </w:rPr>
        <w:t xml:space="preserve"> </w:t>
      </w:r>
    </w:p>
    <w:p w14:paraId="6DD2AE93" w14:textId="77777777" w:rsidR="00227520" w:rsidRDefault="00C67ADF">
      <w:pPr>
        <w:spacing w:after="162"/>
        <w:ind w:left="360"/>
      </w:pPr>
      <w:r>
        <w:rPr>
          <w:sz w:val="24"/>
        </w:rPr>
        <w:t xml:space="preserve"> </w:t>
      </w:r>
    </w:p>
    <w:p w14:paraId="468040AD" w14:textId="77777777" w:rsidR="00227520" w:rsidRDefault="00C67ADF">
      <w:pPr>
        <w:spacing w:after="159"/>
        <w:ind w:left="360"/>
      </w:pPr>
      <w:r>
        <w:rPr>
          <w:sz w:val="24"/>
        </w:rPr>
        <w:t xml:space="preserve"> </w:t>
      </w:r>
    </w:p>
    <w:p w14:paraId="413E0FAE" w14:textId="77777777" w:rsidR="00227520" w:rsidRDefault="00C67ADF">
      <w:pPr>
        <w:spacing w:after="161"/>
        <w:ind w:left="360"/>
      </w:pPr>
      <w:r>
        <w:rPr>
          <w:sz w:val="24"/>
        </w:rPr>
        <w:t xml:space="preserve"> </w:t>
      </w:r>
    </w:p>
    <w:p w14:paraId="04EC5018" w14:textId="77777777" w:rsidR="00227520" w:rsidRDefault="00C67ADF">
      <w:pPr>
        <w:spacing w:after="196"/>
        <w:ind w:left="360"/>
      </w:pPr>
      <w:r>
        <w:rPr>
          <w:sz w:val="24"/>
        </w:rPr>
        <w:t xml:space="preserve"> </w:t>
      </w:r>
    </w:p>
    <w:p w14:paraId="78C95FF0" w14:textId="77777777" w:rsidR="00227520" w:rsidRDefault="00C67ADF">
      <w:pPr>
        <w:spacing w:after="168" w:line="346" w:lineRule="auto"/>
        <w:ind w:left="-15" w:right="3" w:firstLine="360"/>
        <w:jc w:val="both"/>
      </w:pPr>
      <w:r>
        <w:rPr>
          <w:sz w:val="24"/>
        </w:rPr>
        <w:t>4.</w:t>
      </w:r>
      <w:r>
        <w:rPr>
          <w:rFonts w:ascii="Arial" w:eastAsia="Arial" w:hAnsi="Arial" w:cs="Arial"/>
          <w:sz w:val="24"/>
        </w:rPr>
        <w:t xml:space="preserve"> </w:t>
      </w:r>
      <w:r>
        <w:rPr>
          <w:sz w:val="24"/>
        </w:rPr>
        <w:t xml:space="preserve">The process where a professional conduct or practice safety issue has been raised about a student in practice by the Practice Learning Partner organisation   Exceptionally the University or the placement provider can withdraw a student from the placement before or during the placement, in circumstances such as, but not limited to, immediate concerns for the safety and well-being of vulnerable persons. </w:t>
      </w:r>
    </w:p>
    <w:p w14:paraId="6072755E" w14:textId="77777777" w:rsidR="00227520" w:rsidRDefault="00C67ADF">
      <w:pPr>
        <w:spacing w:after="0" w:line="391" w:lineRule="auto"/>
        <w:ind w:left="-5" w:right="3" w:hanging="10"/>
        <w:jc w:val="both"/>
      </w:pPr>
      <w:r>
        <w:rPr>
          <w:sz w:val="24"/>
        </w:rPr>
        <w:t xml:space="preserve">It should be noted that withdrawal of a student prior to or during placement is regarded as a neutral act to allow a concern to be investigated safely and is not a form of disciplinary action. </w:t>
      </w:r>
    </w:p>
    <w:p w14:paraId="220D88AB" w14:textId="77777777" w:rsidR="00227520" w:rsidRDefault="00C67ADF">
      <w:pPr>
        <w:spacing w:after="0"/>
      </w:pPr>
      <w:r>
        <w:rPr>
          <w:sz w:val="24"/>
        </w:rPr>
        <w:t xml:space="preserve"> </w:t>
      </w:r>
    </w:p>
    <w:tbl>
      <w:tblPr>
        <w:tblStyle w:val="TableGrid"/>
        <w:tblW w:w="9251" w:type="dxa"/>
        <w:tblInd w:w="-112" w:type="dxa"/>
        <w:tblCellMar>
          <w:top w:w="68" w:type="dxa"/>
          <w:left w:w="112" w:type="dxa"/>
          <w:right w:w="57" w:type="dxa"/>
        </w:tblCellMar>
        <w:tblLook w:val="04A0" w:firstRow="1" w:lastRow="0" w:firstColumn="1" w:lastColumn="0" w:noHBand="0" w:noVBand="1"/>
      </w:tblPr>
      <w:tblGrid>
        <w:gridCol w:w="9251"/>
      </w:tblGrid>
      <w:tr w:rsidR="00227520" w14:paraId="62EB45DA" w14:textId="77777777">
        <w:trPr>
          <w:trHeight w:val="11747"/>
        </w:trPr>
        <w:tc>
          <w:tcPr>
            <w:tcW w:w="9251" w:type="dxa"/>
            <w:tcBorders>
              <w:top w:val="single" w:sz="4" w:space="0" w:color="000000"/>
              <w:left w:val="single" w:sz="4" w:space="0" w:color="000000"/>
              <w:bottom w:val="single" w:sz="4" w:space="0" w:color="000000"/>
              <w:right w:val="single" w:sz="4" w:space="0" w:color="000000"/>
            </w:tcBorders>
            <w:shd w:val="clear" w:color="auto" w:fill="EDEDED"/>
          </w:tcPr>
          <w:p w14:paraId="7C40C2B6" w14:textId="77777777" w:rsidR="00227520" w:rsidRDefault="00C67ADF">
            <w:r>
              <w:rPr>
                <w:b/>
                <w:sz w:val="24"/>
              </w:rPr>
              <w:lastRenderedPageBreak/>
              <w:t xml:space="preserve">RISK ASSESSMENT </w:t>
            </w:r>
          </w:p>
          <w:p w14:paraId="5B7AC1F7" w14:textId="77777777" w:rsidR="00227520" w:rsidRDefault="00C67ADF">
            <w:pPr>
              <w:spacing w:line="240" w:lineRule="auto"/>
              <w:ind w:right="53"/>
              <w:jc w:val="both"/>
            </w:pPr>
            <w:r>
              <w:rPr>
                <w:sz w:val="24"/>
              </w:rPr>
              <w:t xml:space="preserve">The Practice Learning Team / PPM or Manager of the Practice Area will conduct a risk assessment to make an independent decision on the withdrawal of the student from the practice area following local policies and processes, in order to maintain immediate staff, student and patient safety.   </w:t>
            </w:r>
          </w:p>
          <w:p w14:paraId="0F7018B2" w14:textId="77777777" w:rsidR="00227520" w:rsidRDefault="00C67ADF">
            <w:r>
              <w:rPr>
                <w:sz w:val="24"/>
              </w:rPr>
              <w:t xml:space="preserve"> </w:t>
            </w:r>
          </w:p>
          <w:p w14:paraId="5A7010B8" w14:textId="77777777" w:rsidR="00227520" w:rsidRDefault="00C67ADF">
            <w:r>
              <w:rPr>
                <w:sz w:val="24"/>
              </w:rPr>
              <w:t xml:space="preserve"> </w:t>
            </w:r>
          </w:p>
          <w:p w14:paraId="183E5B8E" w14:textId="77777777" w:rsidR="00227520" w:rsidRDefault="00C67ADF">
            <w:pPr>
              <w:numPr>
                <w:ilvl w:val="0"/>
                <w:numId w:val="6"/>
              </w:numPr>
              <w:ind w:hanging="276"/>
            </w:pPr>
            <w:r>
              <w:rPr>
                <w:b/>
                <w:sz w:val="24"/>
              </w:rPr>
              <w:t xml:space="preserve">STUDENT OR APPRENTICE TO REMAIN IN PRACTICE </w:t>
            </w:r>
          </w:p>
          <w:p w14:paraId="2B4B21F7" w14:textId="77777777" w:rsidR="00227520" w:rsidRDefault="00C67ADF">
            <w:pPr>
              <w:spacing w:line="240" w:lineRule="auto"/>
              <w:ind w:right="53"/>
              <w:jc w:val="both"/>
            </w:pPr>
            <w:r>
              <w:rPr>
                <w:sz w:val="24"/>
              </w:rPr>
              <w:t xml:space="preserve">If the risk assessment confirms the student can remain in practice, the Practice Assessor needs to contact the student’s Academic Assessor to discuss the student’s progression and actions required, following the process in MYEPAD; ascertaining if the student will continue on the placement area with an action plan, or if a fail in practice decision is to be recorded. This will be situation dependent.  </w:t>
            </w:r>
          </w:p>
          <w:p w14:paraId="7C62D03A" w14:textId="77777777" w:rsidR="00227520" w:rsidRDefault="00C67ADF">
            <w:r>
              <w:rPr>
                <w:sz w:val="24"/>
              </w:rPr>
              <w:t xml:space="preserve"> </w:t>
            </w:r>
          </w:p>
          <w:p w14:paraId="75DB368E" w14:textId="77777777" w:rsidR="00227520" w:rsidRDefault="00C67ADF">
            <w:pPr>
              <w:numPr>
                <w:ilvl w:val="0"/>
                <w:numId w:val="6"/>
              </w:numPr>
              <w:ind w:hanging="276"/>
            </w:pPr>
            <w:r>
              <w:rPr>
                <w:b/>
                <w:sz w:val="24"/>
              </w:rPr>
              <w:t xml:space="preserve">STUDENT OR APPRENTICE TO BE WITHDRAWN FROM PRACTICE </w:t>
            </w:r>
          </w:p>
          <w:p w14:paraId="75C8DE98" w14:textId="77777777" w:rsidR="00227520" w:rsidRDefault="00C67ADF">
            <w:pPr>
              <w:spacing w:line="240" w:lineRule="auto"/>
              <w:ind w:right="53"/>
              <w:jc w:val="both"/>
            </w:pPr>
            <w:r>
              <w:rPr>
                <w:sz w:val="24"/>
              </w:rPr>
              <w:t xml:space="preserve">If the risk assessment confirms the student/apprentice is to be withdrawn from the practice area then the Practice Learning Team / PPM or Manager of the Practice Area must provide information on the Student Concern Form / email that the student has been requested to leave the Practice Area. </w:t>
            </w:r>
          </w:p>
          <w:p w14:paraId="3610548C" w14:textId="77777777" w:rsidR="00227520" w:rsidRDefault="00C67ADF">
            <w:r>
              <w:rPr>
                <w:sz w:val="24"/>
              </w:rPr>
              <w:t xml:space="preserve"> </w:t>
            </w:r>
          </w:p>
          <w:p w14:paraId="2B8844EB" w14:textId="06EDB3CB" w:rsidR="00227520" w:rsidRDefault="00C67ADF">
            <w:pPr>
              <w:spacing w:after="2" w:line="240" w:lineRule="auto"/>
              <w:jc w:val="both"/>
            </w:pPr>
            <w:r>
              <w:rPr>
                <w:sz w:val="24"/>
              </w:rPr>
              <w:t xml:space="preserve">If guidance is required from </w:t>
            </w:r>
            <w:r w:rsidRPr="00C67ADF">
              <w:rPr>
                <w:sz w:val="24"/>
              </w:rPr>
              <w:t>Birmingham Newman University</w:t>
            </w:r>
            <w:r>
              <w:rPr>
                <w:sz w:val="24"/>
              </w:rPr>
              <w:t xml:space="preserve"> during working week hours, please contact the Faculty Office </w:t>
            </w:r>
            <w:r>
              <w:rPr>
                <w:color w:val="0563C1"/>
                <w:sz w:val="24"/>
                <w:u w:val="single" w:color="0563C1"/>
              </w:rPr>
              <w:t>fasps@newman.ac.uk</w:t>
            </w:r>
            <w:r>
              <w:rPr>
                <w:sz w:val="24"/>
              </w:rPr>
              <w:t xml:space="preserve">   </w:t>
            </w:r>
          </w:p>
          <w:p w14:paraId="25C8BED8" w14:textId="77777777" w:rsidR="00227520" w:rsidRDefault="00C67ADF">
            <w:r>
              <w:rPr>
                <w:sz w:val="24"/>
              </w:rPr>
              <w:t xml:space="preserve"> </w:t>
            </w:r>
          </w:p>
          <w:p w14:paraId="214E2549" w14:textId="77777777" w:rsidR="00227520" w:rsidRDefault="00C67ADF">
            <w:r>
              <w:rPr>
                <w:b/>
                <w:sz w:val="24"/>
              </w:rPr>
              <w:t xml:space="preserve">REPORT AND DOCUMENT </w:t>
            </w:r>
          </w:p>
          <w:p w14:paraId="4DF91991" w14:textId="4103FCEF" w:rsidR="00227520" w:rsidRDefault="00C67ADF">
            <w:pPr>
              <w:spacing w:line="240" w:lineRule="auto"/>
            </w:pPr>
            <w:r>
              <w:rPr>
                <w:sz w:val="24"/>
              </w:rPr>
              <w:t xml:space="preserve">In all cases, the Practice Learning Team / PPM or Manager of the Practice Area </w:t>
            </w:r>
            <w:r>
              <w:rPr>
                <w:sz w:val="24"/>
                <w:u w:val="single" w:color="000000"/>
              </w:rPr>
              <w:t>must</w:t>
            </w:r>
            <w:r>
              <w:rPr>
                <w:sz w:val="24"/>
              </w:rPr>
              <w:t xml:space="preserve"> contact the Faculty Officer at </w:t>
            </w:r>
            <w:r w:rsidRPr="00C67ADF">
              <w:rPr>
                <w:sz w:val="24"/>
              </w:rPr>
              <w:t>Birmingham Newman University</w:t>
            </w:r>
            <w:r>
              <w:rPr>
                <w:sz w:val="24"/>
              </w:rPr>
              <w:t xml:space="preserve">, at their earliest possible opportunity, providing details of the professional conduct or practice safety issue.   </w:t>
            </w:r>
          </w:p>
          <w:p w14:paraId="6856A46B" w14:textId="77777777" w:rsidR="00227520" w:rsidRDefault="00C67ADF">
            <w:r>
              <w:rPr>
                <w:sz w:val="24"/>
              </w:rPr>
              <w:t xml:space="preserve"> </w:t>
            </w:r>
          </w:p>
          <w:p w14:paraId="5EEE876B" w14:textId="77777777" w:rsidR="00227520" w:rsidRDefault="00C67ADF">
            <w:r>
              <w:rPr>
                <w:b/>
                <w:sz w:val="24"/>
              </w:rPr>
              <w:t xml:space="preserve">EXAMPLES OF CONCERNS THAT MAY REQUIRE INVESTIGATION: </w:t>
            </w:r>
          </w:p>
          <w:p w14:paraId="7FCDF8F2" w14:textId="77777777" w:rsidR="00227520" w:rsidRDefault="00C67ADF">
            <w:r>
              <w:rPr>
                <w:b/>
                <w:sz w:val="24"/>
              </w:rPr>
              <w:t xml:space="preserve"> </w:t>
            </w:r>
          </w:p>
          <w:p w14:paraId="1BD45D65" w14:textId="77777777" w:rsidR="00227520" w:rsidRDefault="00C67ADF">
            <w:pPr>
              <w:numPr>
                <w:ilvl w:val="0"/>
                <w:numId w:val="7"/>
              </w:numPr>
              <w:ind w:hanging="720"/>
            </w:pPr>
            <w:r>
              <w:rPr>
                <w:sz w:val="24"/>
              </w:rPr>
              <w:t xml:space="preserve">Harm or threat of harm to a service user or client       </w:t>
            </w:r>
          </w:p>
          <w:p w14:paraId="3D0F9A5F" w14:textId="77777777" w:rsidR="00227520" w:rsidRDefault="00C67ADF">
            <w:pPr>
              <w:numPr>
                <w:ilvl w:val="0"/>
                <w:numId w:val="7"/>
              </w:numPr>
              <w:ind w:hanging="720"/>
            </w:pPr>
            <w:r>
              <w:rPr>
                <w:sz w:val="24"/>
              </w:rPr>
              <w:t xml:space="preserve">Damage or threat of damage to the reputation of the profession       </w:t>
            </w:r>
          </w:p>
          <w:p w14:paraId="1AA20E93" w14:textId="77777777" w:rsidR="00227520" w:rsidRDefault="00C67ADF">
            <w:pPr>
              <w:numPr>
                <w:ilvl w:val="0"/>
                <w:numId w:val="7"/>
              </w:numPr>
              <w:ind w:hanging="720"/>
            </w:pPr>
            <w:r>
              <w:rPr>
                <w:sz w:val="24"/>
              </w:rPr>
              <w:t xml:space="preserve">A serious concern has been raised       </w:t>
            </w:r>
          </w:p>
          <w:p w14:paraId="5615CBA2" w14:textId="77777777" w:rsidR="00227520" w:rsidRDefault="00C67ADF">
            <w:pPr>
              <w:numPr>
                <w:ilvl w:val="0"/>
                <w:numId w:val="7"/>
              </w:numPr>
              <w:ind w:hanging="720"/>
            </w:pPr>
            <w:r>
              <w:rPr>
                <w:sz w:val="24"/>
              </w:rPr>
              <w:t xml:space="preserve">A sustained or repetitive pattern of behaviour       </w:t>
            </w:r>
          </w:p>
          <w:p w14:paraId="1D31E277" w14:textId="77777777" w:rsidR="00227520" w:rsidRDefault="00C67ADF">
            <w:pPr>
              <w:numPr>
                <w:ilvl w:val="0"/>
                <w:numId w:val="7"/>
              </w:numPr>
              <w:spacing w:after="18" w:line="240" w:lineRule="auto"/>
              <w:ind w:hanging="720"/>
            </w:pPr>
            <w:r>
              <w:rPr>
                <w:sz w:val="24"/>
              </w:rPr>
              <w:t xml:space="preserve">A student is diagnosed with a disability after starting the programme that affects their ability to practice safely      </w:t>
            </w:r>
          </w:p>
          <w:p w14:paraId="1DC9B631" w14:textId="77777777" w:rsidR="00227520" w:rsidRDefault="00C67ADF">
            <w:pPr>
              <w:numPr>
                <w:ilvl w:val="0"/>
                <w:numId w:val="7"/>
              </w:numPr>
              <w:spacing w:line="240" w:lineRule="auto"/>
              <w:ind w:hanging="720"/>
            </w:pPr>
            <w:r>
              <w:rPr>
                <w:sz w:val="24"/>
              </w:rPr>
              <w:t xml:space="preserve">A student or apprentice receives a criminal charge or conviction after starting the programme </w:t>
            </w:r>
          </w:p>
          <w:p w14:paraId="5E5F29CD" w14:textId="77777777" w:rsidR="00227520" w:rsidRDefault="00C67ADF">
            <w:r>
              <w:rPr>
                <w:sz w:val="24"/>
              </w:rPr>
              <w:t xml:space="preserve"> </w:t>
            </w:r>
          </w:p>
          <w:p w14:paraId="03D37990" w14:textId="77777777" w:rsidR="00227520" w:rsidRDefault="00C67ADF">
            <w:r>
              <w:rPr>
                <w:sz w:val="24"/>
              </w:rPr>
              <w:t xml:space="preserve"> </w:t>
            </w:r>
          </w:p>
        </w:tc>
      </w:tr>
      <w:tr w:rsidR="00227520" w14:paraId="18667640" w14:textId="77777777">
        <w:trPr>
          <w:trHeight w:val="316"/>
        </w:trPr>
        <w:tc>
          <w:tcPr>
            <w:tcW w:w="9251" w:type="dxa"/>
            <w:tcBorders>
              <w:top w:val="single" w:sz="4" w:space="0" w:color="000000"/>
              <w:left w:val="single" w:sz="4" w:space="0" w:color="000000"/>
              <w:bottom w:val="nil"/>
              <w:right w:val="single" w:sz="4" w:space="0" w:color="000000"/>
            </w:tcBorders>
            <w:shd w:val="clear" w:color="auto" w:fill="EDEDED"/>
          </w:tcPr>
          <w:p w14:paraId="76E3B367" w14:textId="77777777" w:rsidR="00227520" w:rsidRDefault="00C67ADF">
            <w:r>
              <w:rPr>
                <w:b/>
                <w:sz w:val="24"/>
              </w:rPr>
              <w:t xml:space="preserve">INVESTIGATION / PRACTICE FAIL / FITNESS TO PRACTISE  </w:t>
            </w:r>
          </w:p>
        </w:tc>
      </w:tr>
    </w:tbl>
    <w:p w14:paraId="2DD3243B" w14:textId="77777777" w:rsidR="00227520" w:rsidRDefault="00C67ADF">
      <w:pPr>
        <w:pBdr>
          <w:left w:val="single" w:sz="4" w:space="0" w:color="000000"/>
          <w:bottom w:val="single" w:sz="4" w:space="0" w:color="000000"/>
          <w:right w:val="single" w:sz="4" w:space="0" w:color="000000"/>
        </w:pBdr>
        <w:shd w:val="clear" w:color="auto" w:fill="EDEDED"/>
        <w:spacing w:after="5" w:line="250" w:lineRule="auto"/>
        <w:ind w:left="-5" w:hanging="10"/>
        <w:jc w:val="both"/>
      </w:pPr>
      <w:r>
        <w:rPr>
          <w:sz w:val="24"/>
        </w:rPr>
        <w:t xml:space="preserve">On receipt of the issue in writing, the Faculty Office will escalate to the Associate Dean Head of Nursing &amp; Allied Health who will assess whether formal investigation is required with an Investigating Officer (IO) appointed.  </w:t>
      </w:r>
    </w:p>
    <w:p w14:paraId="1821C101" w14:textId="77777777" w:rsidR="00227520" w:rsidRDefault="00C67ADF">
      <w:pPr>
        <w:pBdr>
          <w:left w:val="single" w:sz="4" w:space="0" w:color="000000"/>
          <w:bottom w:val="single" w:sz="4" w:space="0" w:color="000000"/>
          <w:right w:val="single" w:sz="4" w:space="0" w:color="000000"/>
        </w:pBdr>
        <w:shd w:val="clear" w:color="auto" w:fill="EDEDED"/>
        <w:spacing w:after="0"/>
        <w:ind w:left="-15"/>
      </w:pPr>
      <w:r>
        <w:rPr>
          <w:sz w:val="24"/>
        </w:rPr>
        <w:t xml:space="preserve"> </w:t>
      </w:r>
    </w:p>
    <w:p w14:paraId="61F60779" w14:textId="77777777" w:rsidR="00227520" w:rsidRDefault="00C67ADF">
      <w:pPr>
        <w:pBdr>
          <w:left w:val="single" w:sz="4" w:space="0" w:color="000000"/>
          <w:bottom w:val="single" w:sz="4" w:space="0" w:color="000000"/>
          <w:right w:val="single" w:sz="4" w:space="0" w:color="000000"/>
        </w:pBdr>
        <w:shd w:val="clear" w:color="auto" w:fill="EDEDED"/>
        <w:spacing w:after="5" w:line="250" w:lineRule="auto"/>
        <w:ind w:left="-5" w:hanging="10"/>
        <w:jc w:val="both"/>
      </w:pPr>
      <w:r>
        <w:rPr>
          <w:sz w:val="24"/>
        </w:rPr>
        <w:t xml:space="preserve">On the basis of the investigation, which is normally completed within 20 working days of the appointment, the IO will make recommendation which could include:  </w:t>
      </w:r>
    </w:p>
    <w:p w14:paraId="36898B11" w14:textId="77777777" w:rsidR="00227520" w:rsidRDefault="00C67ADF">
      <w:pPr>
        <w:pBdr>
          <w:left w:val="single" w:sz="4" w:space="0" w:color="000000"/>
          <w:bottom w:val="single" w:sz="4" w:space="0" w:color="000000"/>
          <w:right w:val="single" w:sz="4" w:space="0" w:color="000000"/>
        </w:pBdr>
        <w:shd w:val="clear" w:color="auto" w:fill="EDEDED"/>
        <w:spacing w:after="5" w:line="250" w:lineRule="auto"/>
        <w:ind w:left="-5" w:hanging="10"/>
        <w:jc w:val="both"/>
      </w:pPr>
      <w:r>
        <w:rPr>
          <w:sz w:val="24"/>
        </w:rPr>
        <w:lastRenderedPageBreak/>
        <w:t xml:space="preserve">ACTION A              no action is warranted </w:t>
      </w:r>
    </w:p>
    <w:p w14:paraId="55A8EA69" w14:textId="77777777" w:rsidR="00227520" w:rsidRDefault="00C67ADF">
      <w:pPr>
        <w:pBdr>
          <w:left w:val="single" w:sz="4" w:space="0" w:color="000000"/>
          <w:bottom w:val="single" w:sz="4" w:space="0" w:color="000000"/>
          <w:right w:val="single" w:sz="4" w:space="0" w:color="000000"/>
        </w:pBdr>
        <w:shd w:val="clear" w:color="auto" w:fill="EDEDED"/>
        <w:spacing w:after="5" w:line="250" w:lineRule="auto"/>
        <w:ind w:left="-5" w:hanging="10"/>
        <w:jc w:val="both"/>
      </w:pPr>
      <w:r>
        <w:rPr>
          <w:sz w:val="24"/>
        </w:rPr>
        <w:t xml:space="preserve">ACTION B              a warning should be given; fail in practice recorded; support provided ACTION C              the issue is sufficiently serious to be referred to the Fitness to Practise Committee; fail in practice recorded and presented to the Practice Board.   </w:t>
      </w:r>
    </w:p>
    <w:p w14:paraId="4C3592D0" w14:textId="77777777" w:rsidR="00227520" w:rsidRDefault="00C67ADF">
      <w:pPr>
        <w:pBdr>
          <w:left w:val="single" w:sz="4" w:space="0" w:color="000000"/>
          <w:bottom w:val="single" w:sz="4" w:space="0" w:color="000000"/>
          <w:right w:val="single" w:sz="4" w:space="0" w:color="000000"/>
        </w:pBdr>
        <w:shd w:val="clear" w:color="auto" w:fill="EDEDED"/>
        <w:spacing w:after="0"/>
        <w:ind w:left="-15"/>
      </w:pPr>
      <w:r>
        <w:rPr>
          <w:sz w:val="24"/>
        </w:rPr>
        <w:t xml:space="preserve"> </w:t>
      </w:r>
    </w:p>
    <w:p w14:paraId="3E4E1925" w14:textId="77777777" w:rsidR="00227520" w:rsidRDefault="00C67ADF">
      <w:pPr>
        <w:pBdr>
          <w:left w:val="single" w:sz="4" w:space="0" w:color="000000"/>
          <w:bottom w:val="single" w:sz="4" w:space="0" w:color="000000"/>
          <w:right w:val="single" w:sz="4" w:space="0" w:color="000000"/>
        </w:pBdr>
        <w:shd w:val="clear" w:color="auto" w:fill="EDEDED"/>
        <w:spacing w:after="5" w:line="250" w:lineRule="auto"/>
        <w:ind w:left="-5" w:hanging="10"/>
        <w:jc w:val="both"/>
      </w:pPr>
      <w:r>
        <w:rPr>
          <w:sz w:val="24"/>
        </w:rPr>
        <w:t xml:space="preserve">See Fitness to Practise Policy and the General Student Regulations, for further information on the conduct of Fitness to Practise Committees and outcomes </w:t>
      </w:r>
    </w:p>
    <w:p w14:paraId="55276347" w14:textId="77777777" w:rsidR="00227520" w:rsidRDefault="00C67ADF">
      <w:pPr>
        <w:pBdr>
          <w:left w:val="single" w:sz="4" w:space="0" w:color="000000"/>
          <w:bottom w:val="single" w:sz="4" w:space="0" w:color="000000"/>
          <w:right w:val="single" w:sz="4" w:space="0" w:color="000000"/>
        </w:pBdr>
        <w:shd w:val="clear" w:color="auto" w:fill="EDEDED"/>
        <w:spacing w:after="0"/>
        <w:ind w:left="-15"/>
      </w:pPr>
      <w:r>
        <w:rPr>
          <w:sz w:val="24"/>
        </w:rPr>
        <w:t xml:space="preserve"> </w:t>
      </w:r>
    </w:p>
    <w:p w14:paraId="63187588" w14:textId="77777777" w:rsidR="00227520" w:rsidRDefault="00C67ADF">
      <w:pPr>
        <w:pBdr>
          <w:left w:val="single" w:sz="4" w:space="0" w:color="000000"/>
          <w:bottom w:val="single" w:sz="4" w:space="0" w:color="000000"/>
          <w:right w:val="single" w:sz="4" w:space="0" w:color="000000"/>
        </w:pBdr>
        <w:shd w:val="clear" w:color="auto" w:fill="EDEDED"/>
        <w:spacing w:after="279"/>
        <w:ind w:left="-15"/>
      </w:pPr>
      <w:r>
        <w:rPr>
          <w:sz w:val="24"/>
        </w:rPr>
        <w:t xml:space="preserve"> </w:t>
      </w:r>
    </w:p>
    <w:p w14:paraId="3C61BAF9" w14:textId="77777777" w:rsidR="00227520" w:rsidRDefault="00C67ADF">
      <w:pPr>
        <w:spacing w:after="0"/>
      </w:pPr>
      <w:r>
        <w:t xml:space="preserve"> </w:t>
      </w:r>
      <w:r>
        <w:tab/>
      </w:r>
      <w:r>
        <w:rPr>
          <w:sz w:val="34"/>
          <w:vertAlign w:val="subscript"/>
        </w:rPr>
        <w:t xml:space="preserve"> </w:t>
      </w:r>
      <w:r>
        <w:rPr>
          <w:sz w:val="44"/>
        </w:rPr>
        <w:t xml:space="preserve"> </w:t>
      </w:r>
    </w:p>
    <w:p w14:paraId="0C4EB0C3" w14:textId="77777777" w:rsidR="00227520" w:rsidRDefault="00C67ADF">
      <w:pPr>
        <w:spacing w:after="0"/>
      </w:pPr>
      <w:r>
        <w:rPr>
          <w:rFonts w:ascii="Arial" w:eastAsia="Arial" w:hAnsi="Arial" w:cs="Arial"/>
          <w:b/>
          <w:sz w:val="20"/>
        </w:rPr>
        <w:t xml:space="preserve"> </w:t>
      </w:r>
    </w:p>
    <w:p w14:paraId="41DFD533" w14:textId="77777777" w:rsidR="00227520" w:rsidRDefault="00C67ADF">
      <w:pPr>
        <w:spacing w:after="39"/>
      </w:pPr>
      <w:r>
        <w:rPr>
          <w:rFonts w:ascii="Arial" w:eastAsia="Arial" w:hAnsi="Arial" w:cs="Arial"/>
          <w:b/>
          <w:sz w:val="20"/>
        </w:rPr>
        <w:t xml:space="preserve"> </w:t>
      </w:r>
    </w:p>
    <w:p w14:paraId="4302CD62" w14:textId="77777777" w:rsidR="00227520" w:rsidRDefault="00C67ADF">
      <w:pPr>
        <w:spacing w:after="0"/>
        <w:ind w:left="730" w:hanging="370"/>
      </w:pPr>
      <w:r>
        <w:t>5.</w:t>
      </w:r>
      <w:r>
        <w:rPr>
          <w:rFonts w:ascii="Arial" w:eastAsia="Arial" w:hAnsi="Arial" w:cs="Arial"/>
        </w:rPr>
        <w:t xml:space="preserve"> </w:t>
      </w:r>
      <w:r>
        <w:t xml:space="preserve">Process for School of Nursing &amp; Allied Health to alert other Higher Education Institutions (HEIs)/Approved Educations Institutions (AEIs) of concerns about placement area(s) </w:t>
      </w:r>
    </w:p>
    <w:p w14:paraId="5D8E09DB" w14:textId="77777777" w:rsidR="00227520" w:rsidRDefault="00C67ADF">
      <w:pPr>
        <w:spacing w:after="31"/>
        <w:ind w:left="720"/>
      </w:pPr>
      <w:r>
        <w:t xml:space="preserve"> </w:t>
      </w:r>
    </w:p>
    <w:p w14:paraId="2D1D0DEC"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0" w:line="258" w:lineRule="auto"/>
        <w:ind w:left="715" w:right="-6" w:hanging="10"/>
        <w:jc w:val="both"/>
      </w:pPr>
      <w:r>
        <w:t xml:space="preserve">Where a concern regarding practice and/or patient/service user safety has been raised this should be immediately investigated by the placement manager and university link tutor for the area. </w:t>
      </w:r>
    </w:p>
    <w:p w14:paraId="4EABD7C6"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0" w:line="258" w:lineRule="auto"/>
        <w:ind w:left="715" w:right="-6" w:hanging="10"/>
        <w:jc w:val="both"/>
      </w:pPr>
      <w:r>
        <w:t xml:space="preserve">During this process an accurate record (statement) of the concerns raised and the measures taken to resolve these should be kept. </w:t>
      </w:r>
    </w:p>
    <w:p w14:paraId="318193E2" w14:textId="77777777" w:rsidR="00227520" w:rsidRDefault="00C67ADF">
      <w:pPr>
        <w:pBdr>
          <w:top w:val="single" w:sz="4" w:space="0" w:color="000000"/>
          <w:left w:val="single" w:sz="4" w:space="0" w:color="000000"/>
          <w:bottom w:val="single" w:sz="4" w:space="0" w:color="000000"/>
          <w:right w:val="single" w:sz="4" w:space="0" w:color="000000"/>
        </w:pBdr>
        <w:shd w:val="clear" w:color="auto" w:fill="EDEDED"/>
        <w:spacing w:after="930" w:line="258" w:lineRule="auto"/>
        <w:ind w:left="715" w:right="-6" w:hanging="10"/>
        <w:jc w:val="both"/>
      </w:pPr>
      <w:r>
        <w:t xml:space="preserve">This record should be forwarded to the Programme Manager and Safeguarding Lead within the investigating HEI/AEI. </w:t>
      </w:r>
    </w:p>
    <w:p w14:paraId="53130D7B" w14:textId="77777777" w:rsidR="00227520" w:rsidRDefault="00C67ADF">
      <w:pPr>
        <w:spacing w:after="0"/>
        <w:ind w:left="10" w:right="16" w:hanging="10"/>
        <w:jc w:val="center"/>
      </w:pPr>
      <w:r>
        <w:rPr>
          <w:sz w:val="96"/>
        </w:rPr>
        <w:t>↓</w:t>
      </w:r>
      <w:r>
        <w:rPr>
          <w:sz w:val="24"/>
        </w:rPr>
        <w:t xml:space="preserve"> </w:t>
      </w:r>
    </w:p>
    <w:tbl>
      <w:tblPr>
        <w:tblStyle w:val="TableGrid"/>
        <w:tblW w:w="9251" w:type="dxa"/>
        <w:tblInd w:w="-112" w:type="dxa"/>
        <w:tblCellMar>
          <w:top w:w="66" w:type="dxa"/>
          <w:left w:w="112" w:type="dxa"/>
          <w:right w:w="62" w:type="dxa"/>
        </w:tblCellMar>
        <w:tblLook w:val="04A0" w:firstRow="1" w:lastRow="0" w:firstColumn="1" w:lastColumn="0" w:noHBand="0" w:noVBand="1"/>
      </w:tblPr>
      <w:tblGrid>
        <w:gridCol w:w="9251"/>
      </w:tblGrid>
      <w:tr w:rsidR="00227520" w14:paraId="0A9F837B" w14:textId="77777777">
        <w:trPr>
          <w:trHeight w:val="2264"/>
        </w:trPr>
        <w:tc>
          <w:tcPr>
            <w:tcW w:w="9251" w:type="dxa"/>
            <w:tcBorders>
              <w:top w:val="single" w:sz="4" w:space="0" w:color="000000"/>
              <w:left w:val="single" w:sz="4" w:space="0" w:color="000000"/>
              <w:bottom w:val="single" w:sz="4" w:space="0" w:color="000000"/>
              <w:right w:val="single" w:sz="4" w:space="0" w:color="000000"/>
            </w:tcBorders>
            <w:shd w:val="clear" w:color="auto" w:fill="EDEDED"/>
          </w:tcPr>
          <w:p w14:paraId="1CF9135C" w14:textId="77777777" w:rsidR="00227520" w:rsidRDefault="00C67ADF">
            <w:pPr>
              <w:spacing w:after="163" w:line="258" w:lineRule="auto"/>
              <w:ind w:right="47"/>
              <w:jc w:val="both"/>
            </w:pPr>
            <w:r>
              <w:t xml:space="preserve">Depending on the nature of the concern either the Programme Manager or the Safeguarding Lead will be responsible for escalating the concern to the appropriate practice/safeguarding mechanisms within other HEIs/AEIs. </w:t>
            </w:r>
          </w:p>
          <w:p w14:paraId="1A686493" w14:textId="77777777" w:rsidR="00227520" w:rsidRDefault="00C67ADF">
            <w:pPr>
              <w:spacing w:after="158"/>
            </w:pPr>
            <w:r>
              <w:t xml:space="preserve">Action requiring immediate escalation to other HEIs/AEIs includes: </w:t>
            </w:r>
          </w:p>
          <w:p w14:paraId="31E71F10" w14:textId="77777777" w:rsidR="00227520" w:rsidRDefault="00C67ADF">
            <w:pPr>
              <w:ind w:right="3331"/>
            </w:pPr>
            <w:r>
              <w:t xml:space="preserve">i. Removal of students (or a student) from the placement area ii. Suspension of a clinical area (with re-audit plan) </w:t>
            </w:r>
          </w:p>
        </w:tc>
      </w:tr>
    </w:tbl>
    <w:p w14:paraId="2483B0EB" w14:textId="77777777" w:rsidR="00227520" w:rsidRDefault="00C67ADF">
      <w:pPr>
        <w:spacing w:after="0"/>
        <w:ind w:left="10" w:right="16" w:hanging="10"/>
        <w:jc w:val="center"/>
      </w:pPr>
      <w:r>
        <w:rPr>
          <w:sz w:val="96"/>
        </w:rPr>
        <w:t>↓</w:t>
      </w:r>
      <w:r>
        <w:rPr>
          <w:sz w:val="24"/>
        </w:rPr>
        <w:t xml:space="preserve"> </w:t>
      </w:r>
    </w:p>
    <w:p w14:paraId="6B26F9CA" w14:textId="77777777" w:rsidR="00227520" w:rsidRDefault="00C67ADF">
      <w:pPr>
        <w:pBdr>
          <w:top w:val="single" w:sz="4" w:space="0" w:color="000000"/>
          <w:left w:val="single" w:sz="4" w:space="0" w:color="000000"/>
          <w:right w:val="single" w:sz="4" w:space="0" w:color="000000"/>
        </w:pBdr>
        <w:shd w:val="clear" w:color="auto" w:fill="EDEDED"/>
        <w:spacing w:after="0"/>
      </w:pPr>
      <w:r>
        <w:t xml:space="preserve">In the event of immediate removal of students and/or suspension of a clinical area:  </w:t>
      </w:r>
    </w:p>
    <w:p w14:paraId="5149B317" w14:textId="77777777" w:rsidR="00227520" w:rsidRDefault="00C67ADF">
      <w:pPr>
        <w:pBdr>
          <w:left w:val="single" w:sz="4" w:space="0" w:color="000000"/>
          <w:bottom w:val="single" w:sz="4" w:space="0" w:color="000000"/>
          <w:right w:val="single" w:sz="4" w:space="0" w:color="000000"/>
        </w:pBdr>
        <w:shd w:val="clear" w:color="auto" w:fill="EDEDED"/>
        <w:spacing w:after="0"/>
        <w:ind w:left="-15" w:right="-5"/>
      </w:pPr>
      <w:r>
        <w:t xml:space="preserve"> </w:t>
      </w:r>
    </w:p>
    <w:p w14:paraId="13686B2D" w14:textId="77777777" w:rsidR="00227520" w:rsidRDefault="00C67ADF">
      <w:pPr>
        <w:numPr>
          <w:ilvl w:val="0"/>
          <w:numId w:val="5"/>
        </w:numPr>
        <w:pBdr>
          <w:left w:val="single" w:sz="4" w:space="0" w:color="000000"/>
          <w:bottom w:val="single" w:sz="4" w:space="0" w:color="000000"/>
          <w:right w:val="single" w:sz="4" w:space="0" w:color="000000"/>
        </w:pBdr>
        <w:shd w:val="clear" w:color="auto" w:fill="EDEDED"/>
        <w:spacing w:after="39" w:line="246" w:lineRule="auto"/>
        <w:ind w:left="-5" w:right="-5" w:hanging="10"/>
        <w:jc w:val="both"/>
      </w:pPr>
      <w:r>
        <w:t xml:space="preserve">The Education Lead/Director of Nursing for the Trust/Organisation to be informed to agree a joint action plan and timeframe for actions.  </w:t>
      </w:r>
    </w:p>
    <w:p w14:paraId="27E44D74" w14:textId="77777777" w:rsidR="00227520" w:rsidRDefault="00C67ADF">
      <w:pPr>
        <w:numPr>
          <w:ilvl w:val="0"/>
          <w:numId w:val="5"/>
        </w:numPr>
        <w:pBdr>
          <w:left w:val="single" w:sz="4" w:space="0" w:color="000000"/>
          <w:bottom w:val="single" w:sz="4" w:space="0" w:color="000000"/>
          <w:right w:val="single" w:sz="4" w:space="0" w:color="000000"/>
        </w:pBdr>
        <w:shd w:val="clear" w:color="auto" w:fill="EDEDED"/>
        <w:spacing w:after="760" w:line="246" w:lineRule="auto"/>
        <w:ind w:left="-5" w:right="-5" w:hanging="10"/>
        <w:jc w:val="both"/>
      </w:pPr>
      <w:r>
        <w:lastRenderedPageBreak/>
        <w:t xml:space="preserve">This joint action plan to be shared with other HEIs/AEIs  iii. The clinical area should be immediately deactivated on the allocations and audit system (with reaudit plan). All students on placement area, irrespective of HEI/AEI, to be reallocated to alternative active placement areas.  </w:t>
      </w:r>
    </w:p>
    <w:p w14:paraId="7C7C2624" w14:textId="77777777" w:rsidR="00227520" w:rsidRDefault="00C67ADF">
      <w:pPr>
        <w:spacing w:after="0"/>
        <w:ind w:left="10" w:right="16" w:hanging="10"/>
        <w:jc w:val="center"/>
      </w:pPr>
      <w:r>
        <w:rPr>
          <w:sz w:val="96"/>
        </w:rPr>
        <w:t>↓</w:t>
      </w:r>
      <w:r>
        <w:t xml:space="preserve"> </w:t>
      </w:r>
    </w:p>
    <w:tbl>
      <w:tblPr>
        <w:tblStyle w:val="TableGrid"/>
        <w:tblW w:w="9251" w:type="dxa"/>
        <w:tblInd w:w="-112" w:type="dxa"/>
        <w:tblCellMar>
          <w:top w:w="30" w:type="dxa"/>
          <w:left w:w="112" w:type="dxa"/>
          <w:right w:w="115" w:type="dxa"/>
        </w:tblCellMar>
        <w:tblLook w:val="04A0" w:firstRow="1" w:lastRow="0" w:firstColumn="1" w:lastColumn="0" w:noHBand="0" w:noVBand="1"/>
      </w:tblPr>
      <w:tblGrid>
        <w:gridCol w:w="9251"/>
      </w:tblGrid>
      <w:tr w:rsidR="00227520" w14:paraId="11C395E7" w14:textId="77777777">
        <w:trPr>
          <w:trHeight w:val="1297"/>
        </w:trPr>
        <w:tc>
          <w:tcPr>
            <w:tcW w:w="9251" w:type="dxa"/>
            <w:tcBorders>
              <w:top w:val="single" w:sz="4" w:space="0" w:color="000000"/>
              <w:left w:val="single" w:sz="4" w:space="0" w:color="000000"/>
              <w:bottom w:val="single" w:sz="4" w:space="0" w:color="000000"/>
              <w:right w:val="single" w:sz="4" w:space="0" w:color="000000"/>
            </w:tcBorders>
            <w:shd w:val="clear" w:color="auto" w:fill="EDEDED"/>
          </w:tcPr>
          <w:p w14:paraId="41D02C76" w14:textId="77777777" w:rsidR="00227520" w:rsidRDefault="00C67ADF">
            <w:r>
              <w:rPr>
                <w:rFonts w:ascii="Arial" w:eastAsia="Arial" w:hAnsi="Arial" w:cs="Arial"/>
                <w:sz w:val="20"/>
              </w:rPr>
              <w:t xml:space="preserve">All HEIs/AEIs will alert HEE and/or professional regulators:  </w:t>
            </w:r>
          </w:p>
          <w:p w14:paraId="6A468E98" w14:textId="77777777" w:rsidR="00227520" w:rsidRDefault="00C67ADF">
            <w:r>
              <w:rPr>
                <w:rFonts w:ascii="Arial" w:eastAsia="Arial" w:hAnsi="Arial" w:cs="Arial"/>
                <w:sz w:val="20"/>
              </w:rPr>
              <w:t xml:space="preserve"> </w:t>
            </w:r>
          </w:p>
          <w:p w14:paraId="2FD9545B" w14:textId="77777777" w:rsidR="00227520" w:rsidRDefault="00C67ADF">
            <w:pPr>
              <w:spacing w:line="292" w:lineRule="auto"/>
              <w:ind w:right="3116"/>
            </w:pPr>
            <w:r>
              <w:rPr>
                <w:rFonts w:ascii="Arial" w:eastAsia="Arial" w:hAnsi="Arial" w:cs="Arial"/>
                <w:sz w:val="20"/>
              </w:rPr>
              <w:t xml:space="preserve">i. HEE normally notified  ii. Reported to professional regulators via annual monitoring report.  </w:t>
            </w:r>
          </w:p>
          <w:p w14:paraId="3F85F98E" w14:textId="77777777" w:rsidR="00227520" w:rsidRDefault="00C67ADF">
            <w:r>
              <w:rPr>
                <w:rFonts w:ascii="Arial" w:eastAsia="Arial" w:hAnsi="Arial" w:cs="Arial"/>
                <w:sz w:val="20"/>
              </w:rPr>
              <w:t xml:space="preserve">iii. Or exceptional reporting when appropriate to both HEE &amp; professional regulators  </w:t>
            </w:r>
          </w:p>
        </w:tc>
      </w:tr>
    </w:tbl>
    <w:p w14:paraId="175A862D" w14:textId="77777777" w:rsidR="00227520" w:rsidRDefault="00C67ADF">
      <w:pPr>
        <w:spacing w:after="0"/>
      </w:pPr>
      <w:r>
        <w:rPr>
          <w:rFonts w:ascii="Arial" w:eastAsia="Arial" w:hAnsi="Arial" w:cs="Arial"/>
          <w:b/>
          <w:sz w:val="20"/>
        </w:rPr>
        <w:t xml:space="preserve"> </w:t>
      </w:r>
    </w:p>
    <w:p w14:paraId="06DA3C3A" w14:textId="77777777" w:rsidR="00227520" w:rsidRDefault="00C67ADF">
      <w:pPr>
        <w:spacing w:after="0"/>
      </w:pPr>
      <w:r>
        <w:rPr>
          <w:rFonts w:ascii="Arial" w:eastAsia="Arial" w:hAnsi="Arial" w:cs="Arial"/>
          <w:b/>
          <w:sz w:val="20"/>
        </w:rPr>
        <w:t xml:space="preserve"> </w:t>
      </w:r>
    </w:p>
    <w:p w14:paraId="7D45224E" w14:textId="77777777" w:rsidR="00227520" w:rsidRDefault="00C67ADF">
      <w:pPr>
        <w:spacing w:after="0"/>
      </w:pPr>
      <w:r>
        <w:rPr>
          <w:rFonts w:ascii="Arial" w:eastAsia="Arial" w:hAnsi="Arial" w:cs="Arial"/>
          <w:b/>
          <w:sz w:val="20"/>
        </w:rPr>
        <w:t xml:space="preserve"> </w:t>
      </w:r>
    </w:p>
    <w:p w14:paraId="6042151A" w14:textId="77777777" w:rsidR="00227520" w:rsidRDefault="00C67ADF">
      <w:pPr>
        <w:spacing w:after="0"/>
      </w:pPr>
      <w:r>
        <w:rPr>
          <w:rFonts w:ascii="Arial" w:eastAsia="Arial" w:hAnsi="Arial" w:cs="Arial"/>
          <w:b/>
          <w:sz w:val="20"/>
        </w:rPr>
        <w:t xml:space="preserve"> </w:t>
      </w:r>
    </w:p>
    <w:p w14:paraId="62306F91" w14:textId="77777777" w:rsidR="00227520" w:rsidRDefault="00C67ADF">
      <w:pPr>
        <w:spacing w:after="0"/>
      </w:pPr>
      <w:r>
        <w:rPr>
          <w:rFonts w:ascii="Arial" w:eastAsia="Arial" w:hAnsi="Arial" w:cs="Arial"/>
          <w:b/>
          <w:sz w:val="20"/>
        </w:rPr>
        <w:t xml:space="preserve"> </w:t>
      </w:r>
    </w:p>
    <w:p w14:paraId="773507CE" w14:textId="77777777" w:rsidR="00227520" w:rsidRDefault="00C67ADF">
      <w:pPr>
        <w:spacing w:after="0"/>
      </w:pPr>
      <w:r>
        <w:rPr>
          <w:rFonts w:ascii="Arial" w:eastAsia="Arial" w:hAnsi="Arial" w:cs="Arial"/>
          <w:b/>
          <w:sz w:val="20"/>
        </w:rPr>
        <w:t xml:space="preserve"> </w:t>
      </w:r>
    </w:p>
    <w:p w14:paraId="48796CE3" w14:textId="3E1EE20B" w:rsidR="00227520" w:rsidRDefault="00C67ADF">
      <w:pPr>
        <w:spacing w:after="0"/>
      </w:pPr>
      <w:r>
        <w:rPr>
          <w:rFonts w:ascii="Arial" w:eastAsia="Arial" w:hAnsi="Arial" w:cs="Arial"/>
          <w:b/>
          <w:sz w:val="20"/>
        </w:rPr>
        <w:t>Professional regulation</w:t>
      </w:r>
      <w:r w:rsidR="00C1226E">
        <w:rPr>
          <w:rFonts w:ascii="Arial" w:eastAsia="Arial" w:hAnsi="Arial" w:cs="Arial"/>
          <w:b/>
          <w:sz w:val="20"/>
        </w:rPr>
        <w:t xml:space="preserve"> and further</w:t>
      </w:r>
      <w:r>
        <w:rPr>
          <w:rFonts w:ascii="Arial" w:eastAsia="Arial" w:hAnsi="Arial" w:cs="Arial"/>
          <w:b/>
          <w:sz w:val="20"/>
        </w:rPr>
        <w:t xml:space="preserve"> information is available at:  </w:t>
      </w:r>
    </w:p>
    <w:p w14:paraId="75530E76" w14:textId="77777777" w:rsidR="00227520" w:rsidRDefault="00C67ADF">
      <w:pPr>
        <w:spacing w:after="5"/>
      </w:pPr>
      <w:r>
        <w:rPr>
          <w:rFonts w:ascii="Arial" w:eastAsia="Arial" w:hAnsi="Arial" w:cs="Arial"/>
          <w:sz w:val="20"/>
        </w:rPr>
        <w:t xml:space="preserve"> </w:t>
      </w:r>
    </w:p>
    <w:p w14:paraId="1C12ABA0" w14:textId="153C2F64" w:rsidR="00C1226E" w:rsidRDefault="00C1226E">
      <w:pPr>
        <w:spacing w:after="0"/>
      </w:pPr>
      <w:hyperlink r:id="rId14" w:history="1">
        <w:r w:rsidRPr="00E57752">
          <w:rPr>
            <w:rStyle w:val="Hyperlink"/>
          </w:rPr>
          <w:t>https://www.england.nhs.uk/safeguarding/about/</w:t>
        </w:r>
      </w:hyperlink>
    </w:p>
    <w:p w14:paraId="653C6F64" w14:textId="3D55B522" w:rsidR="00227520" w:rsidRDefault="00C67ADF">
      <w:pPr>
        <w:spacing w:after="0"/>
      </w:pPr>
      <w:r>
        <w:rPr>
          <w:b/>
        </w:rPr>
        <w:t xml:space="preserve"> </w:t>
      </w:r>
    </w:p>
    <w:p w14:paraId="5A8A2F16" w14:textId="77777777" w:rsidR="00227520" w:rsidRDefault="00000000">
      <w:pPr>
        <w:spacing w:after="0" w:line="240" w:lineRule="auto"/>
        <w:ind w:left="-5" w:hanging="10"/>
      </w:pPr>
      <w:hyperlink r:id="rId15">
        <w:r w:rsidR="00C67ADF">
          <w:rPr>
            <w:b/>
            <w:color w:val="0563C1"/>
            <w:u w:val="single" w:color="0563C1"/>
          </w:rPr>
          <w:t>https://www.nmc.org.uk/standards/guidance/raisin</w:t>
        </w:r>
        <w:r w:rsidR="00C67ADF">
          <w:rPr>
            <w:b/>
            <w:color w:val="0563C1"/>
            <w:u w:val="single" w:color="0563C1"/>
          </w:rPr>
          <w:t>g</w:t>
        </w:r>
      </w:hyperlink>
      <w:hyperlink r:id="rId16">
        <w:r w:rsidR="00C67ADF">
          <w:rPr>
            <w:b/>
            <w:color w:val="0563C1"/>
            <w:u w:val="single" w:color="0563C1"/>
          </w:rPr>
          <w:t>-</w:t>
        </w:r>
      </w:hyperlink>
      <w:hyperlink r:id="rId17">
        <w:r w:rsidR="00C67ADF">
          <w:rPr>
            <w:b/>
            <w:color w:val="0563C1"/>
            <w:u w:val="single" w:color="0563C1"/>
          </w:rPr>
          <w:t>concerns</w:t>
        </w:r>
      </w:hyperlink>
      <w:hyperlink r:id="rId18">
        <w:r w:rsidR="00C67ADF">
          <w:rPr>
            <w:b/>
            <w:color w:val="0563C1"/>
            <w:u w:val="single" w:color="0563C1"/>
          </w:rPr>
          <w:t>-</w:t>
        </w:r>
      </w:hyperlink>
      <w:hyperlink r:id="rId19">
        <w:r w:rsidR="00C67ADF">
          <w:rPr>
            <w:b/>
            <w:color w:val="0563C1"/>
            <w:u w:val="single" w:color="0563C1"/>
          </w:rPr>
          <w:t>guidance</w:t>
        </w:r>
      </w:hyperlink>
      <w:hyperlink r:id="rId20">
        <w:r w:rsidR="00C67ADF">
          <w:rPr>
            <w:b/>
            <w:color w:val="0563C1"/>
            <w:u w:val="single" w:color="0563C1"/>
          </w:rPr>
          <w:t>-</w:t>
        </w:r>
      </w:hyperlink>
      <w:hyperlink r:id="rId21">
        <w:r w:rsidR="00C67ADF">
          <w:rPr>
            <w:b/>
            <w:color w:val="0563C1"/>
            <w:u w:val="single" w:color="0563C1"/>
          </w:rPr>
          <w:t>for</w:t>
        </w:r>
      </w:hyperlink>
      <w:hyperlink r:id="rId22">
        <w:r w:rsidR="00C67ADF">
          <w:rPr>
            <w:b/>
            <w:color w:val="0563C1"/>
            <w:u w:val="single" w:color="0563C1"/>
          </w:rPr>
          <w:t>-</w:t>
        </w:r>
      </w:hyperlink>
      <w:hyperlink r:id="rId23">
        <w:r w:rsidR="00C67ADF">
          <w:rPr>
            <w:b/>
            <w:color w:val="0563C1"/>
            <w:u w:val="single" w:color="0563C1"/>
          </w:rPr>
          <w:t>nurses</w:t>
        </w:r>
      </w:hyperlink>
      <w:hyperlink r:id="rId24">
        <w:r w:rsidR="00C67ADF">
          <w:rPr>
            <w:b/>
            <w:color w:val="0563C1"/>
            <w:u w:val="single" w:color="0563C1"/>
          </w:rPr>
          <w:t>-</w:t>
        </w:r>
      </w:hyperlink>
      <w:hyperlink r:id="rId25">
        <w:r w:rsidR="00C67ADF">
          <w:rPr>
            <w:b/>
            <w:color w:val="0563C1"/>
            <w:u w:val="single" w:color="0563C1"/>
          </w:rPr>
          <w:t>and</w:t>
        </w:r>
      </w:hyperlink>
      <w:hyperlink r:id="rId26"/>
      <w:hyperlink r:id="rId27">
        <w:r w:rsidR="00C67ADF">
          <w:rPr>
            <w:b/>
            <w:color w:val="0563C1"/>
            <w:u w:val="single" w:color="0563C1"/>
          </w:rPr>
          <w:t>midwives/</w:t>
        </w:r>
      </w:hyperlink>
      <w:hyperlink r:id="rId28">
        <w:r w:rsidR="00C67ADF">
          <w:rPr>
            <w:b/>
          </w:rPr>
          <w:t xml:space="preserve"> </w:t>
        </w:r>
      </w:hyperlink>
      <w:r w:rsidR="00C67ADF">
        <w:rPr>
          <w:b/>
        </w:rPr>
        <w:t xml:space="preserve"> </w:t>
      </w:r>
    </w:p>
    <w:p w14:paraId="023D3E15" w14:textId="77777777" w:rsidR="00227520" w:rsidRDefault="00C67ADF">
      <w:pPr>
        <w:spacing w:after="0"/>
      </w:pPr>
      <w:r>
        <w:rPr>
          <w:b/>
        </w:rPr>
        <w:t xml:space="preserve"> </w:t>
      </w:r>
    </w:p>
    <w:p w14:paraId="02834C01" w14:textId="77777777" w:rsidR="00227520" w:rsidRDefault="00000000">
      <w:pPr>
        <w:spacing w:after="0" w:line="240" w:lineRule="auto"/>
        <w:ind w:left="-5" w:hanging="10"/>
      </w:pPr>
      <w:hyperlink r:id="rId29">
        <w:r w:rsidR="00C67ADF">
          <w:rPr>
            <w:b/>
            <w:color w:val="0563C1"/>
            <w:u w:val="single" w:color="0563C1"/>
          </w:rPr>
          <w:t>https://www.nmc.org.uk/standards/gui</w:t>
        </w:r>
        <w:r w:rsidR="00C67ADF">
          <w:rPr>
            <w:b/>
            <w:color w:val="0563C1"/>
            <w:u w:val="single" w:color="0563C1"/>
          </w:rPr>
          <w:t>d</w:t>
        </w:r>
        <w:r w:rsidR="00C67ADF">
          <w:rPr>
            <w:b/>
            <w:color w:val="0563C1"/>
            <w:u w:val="single" w:color="0563C1"/>
          </w:rPr>
          <w:t>ance/raising</w:t>
        </w:r>
      </w:hyperlink>
      <w:hyperlink r:id="rId30">
        <w:r w:rsidR="00C67ADF">
          <w:rPr>
            <w:b/>
            <w:color w:val="0563C1"/>
            <w:u w:val="single" w:color="0563C1"/>
          </w:rPr>
          <w:t>-</w:t>
        </w:r>
      </w:hyperlink>
      <w:hyperlink r:id="rId31">
        <w:r w:rsidR="00C67ADF">
          <w:rPr>
            <w:b/>
            <w:color w:val="0563C1"/>
            <w:u w:val="single" w:color="0563C1"/>
          </w:rPr>
          <w:t>concerns</w:t>
        </w:r>
      </w:hyperlink>
      <w:hyperlink r:id="rId32">
        <w:r w:rsidR="00C67ADF">
          <w:rPr>
            <w:b/>
            <w:color w:val="0563C1"/>
            <w:u w:val="single" w:color="0563C1"/>
          </w:rPr>
          <w:t>-</w:t>
        </w:r>
      </w:hyperlink>
      <w:hyperlink r:id="rId33">
        <w:r w:rsidR="00C67ADF">
          <w:rPr>
            <w:b/>
            <w:color w:val="0563C1"/>
            <w:u w:val="single" w:color="0563C1"/>
          </w:rPr>
          <w:t>guidance</w:t>
        </w:r>
      </w:hyperlink>
      <w:hyperlink r:id="rId34">
        <w:r w:rsidR="00C67ADF">
          <w:rPr>
            <w:b/>
            <w:color w:val="0563C1"/>
            <w:u w:val="single" w:color="0563C1"/>
          </w:rPr>
          <w:t>-</w:t>
        </w:r>
      </w:hyperlink>
      <w:hyperlink r:id="rId35">
        <w:r w:rsidR="00C67ADF">
          <w:rPr>
            <w:b/>
            <w:color w:val="0563C1"/>
            <w:u w:val="single" w:color="0563C1"/>
          </w:rPr>
          <w:t>for</w:t>
        </w:r>
      </w:hyperlink>
      <w:hyperlink r:id="rId36">
        <w:r w:rsidR="00C67ADF">
          <w:rPr>
            <w:b/>
            <w:color w:val="0563C1"/>
            <w:u w:val="single" w:color="0563C1"/>
          </w:rPr>
          <w:t>-</w:t>
        </w:r>
      </w:hyperlink>
      <w:hyperlink r:id="rId37">
        <w:r w:rsidR="00C67ADF">
          <w:rPr>
            <w:b/>
            <w:color w:val="0563C1"/>
            <w:u w:val="single" w:color="0563C1"/>
          </w:rPr>
          <w:t>nurses</w:t>
        </w:r>
      </w:hyperlink>
      <w:hyperlink r:id="rId38">
        <w:r w:rsidR="00C67ADF">
          <w:rPr>
            <w:b/>
            <w:color w:val="0563C1"/>
            <w:u w:val="single" w:color="0563C1"/>
          </w:rPr>
          <w:t>-</w:t>
        </w:r>
      </w:hyperlink>
      <w:hyperlink r:id="rId39">
        <w:r w:rsidR="00C67ADF">
          <w:rPr>
            <w:b/>
            <w:color w:val="0563C1"/>
            <w:u w:val="single" w:color="0563C1"/>
          </w:rPr>
          <w:t>and</w:t>
        </w:r>
      </w:hyperlink>
      <w:hyperlink r:id="rId40"/>
      <w:hyperlink r:id="rId41">
        <w:r w:rsidR="00C67ADF">
          <w:rPr>
            <w:b/>
            <w:color w:val="0563C1"/>
            <w:u w:val="single" w:color="0563C1"/>
          </w:rPr>
          <w:t>midwives/case</w:t>
        </w:r>
      </w:hyperlink>
      <w:hyperlink r:id="rId42">
        <w:r w:rsidR="00C67ADF">
          <w:rPr>
            <w:b/>
            <w:color w:val="0563C1"/>
            <w:u w:val="single" w:color="0563C1"/>
          </w:rPr>
          <w:t>-</w:t>
        </w:r>
      </w:hyperlink>
      <w:hyperlink r:id="rId43">
        <w:r w:rsidR="00C67ADF">
          <w:rPr>
            <w:b/>
            <w:color w:val="0563C1"/>
            <w:u w:val="single" w:color="0563C1"/>
          </w:rPr>
          <w:t>studies</w:t>
        </w:r>
      </w:hyperlink>
      <w:hyperlink r:id="rId44">
        <w:r w:rsidR="00C67ADF">
          <w:rPr>
            <w:b/>
            <w:color w:val="0563C1"/>
            <w:u w:val="single" w:color="0563C1"/>
          </w:rPr>
          <w:t>-</w:t>
        </w:r>
      </w:hyperlink>
      <w:hyperlink r:id="rId45">
        <w:r w:rsidR="00C67ADF">
          <w:rPr>
            <w:b/>
            <w:color w:val="0563C1"/>
            <w:u w:val="single" w:color="0563C1"/>
          </w:rPr>
          <w:t>on</w:t>
        </w:r>
      </w:hyperlink>
      <w:hyperlink r:id="rId46">
        <w:r w:rsidR="00C67ADF">
          <w:rPr>
            <w:b/>
            <w:color w:val="0563C1"/>
            <w:u w:val="single" w:color="0563C1"/>
          </w:rPr>
          <w:t>-</w:t>
        </w:r>
      </w:hyperlink>
      <w:hyperlink r:id="rId47">
        <w:r w:rsidR="00C67ADF">
          <w:rPr>
            <w:b/>
            <w:color w:val="0563C1"/>
            <w:u w:val="single" w:color="0563C1"/>
          </w:rPr>
          <w:t>raising</w:t>
        </w:r>
      </w:hyperlink>
      <w:hyperlink r:id="rId48">
        <w:r w:rsidR="00C67ADF">
          <w:rPr>
            <w:b/>
            <w:color w:val="0563C1"/>
            <w:u w:val="single" w:color="0563C1"/>
          </w:rPr>
          <w:t>-</w:t>
        </w:r>
      </w:hyperlink>
      <w:hyperlink r:id="rId49">
        <w:r w:rsidR="00C67ADF">
          <w:rPr>
            <w:b/>
            <w:color w:val="0563C1"/>
            <w:u w:val="single" w:color="0563C1"/>
          </w:rPr>
          <w:t>concerns/</w:t>
        </w:r>
      </w:hyperlink>
      <w:hyperlink r:id="rId50">
        <w:r w:rsidR="00C67ADF">
          <w:rPr>
            <w:b/>
          </w:rPr>
          <w:t xml:space="preserve"> </w:t>
        </w:r>
      </w:hyperlink>
      <w:r w:rsidR="00C67ADF">
        <w:rPr>
          <w:b/>
        </w:rPr>
        <w:t xml:space="preserve"> </w:t>
      </w:r>
    </w:p>
    <w:p w14:paraId="02076177" w14:textId="77777777" w:rsidR="00227520" w:rsidRDefault="00C67ADF">
      <w:pPr>
        <w:spacing w:after="0"/>
      </w:pPr>
      <w:r>
        <w:rPr>
          <w:b/>
        </w:rPr>
        <w:t xml:space="preserve"> </w:t>
      </w:r>
    </w:p>
    <w:p w14:paraId="7032C4F3" w14:textId="77777777" w:rsidR="00227520" w:rsidRDefault="00C67ADF">
      <w:pPr>
        <w:ind w:left="-15"/>
      </w:pPr>
      <w:r>
        <w:t xml:space="preserve">Health Care Professions Council </w:t>
      </w:r>
      <w:hyperlink r:id="rId51">
        <w:r>
          <w:rPr>
            <w:b/>
            <w:color w:val="0563C1"/>
            <w:u w:val="single" w:color="0563C1"/>
          </w:rPr>
          <w:t>http://www.hcpc</w:t>
        </w:r>
      </w:hyperlink>
      <w:hyperlink r:id="rId52">
        <w:r>
          <w:rPr>
            <w:b/>
            <w:color w:val="0563C1"/>
            <w:u w:val="single" w:color="0563C1"/>
          </w:rPr>
          <w:t>-</w:t>
        </w:r>
      </w:hyperlink>
      <w:hyperlink r:id="rId53">
        <w:r>
          <w:rPr>
            <w:b/>
            <w:color w:val="0563C1"/>
            <w:u w:val="single" w:color="0563C1"/>
          </w:rPr>
          <w:t>uk.org.uk/</w:t>
        </w:r>
      </w:hyperlink>
      <w:hyperlink r:id="rId54">
        <w:r>
          <w:rPr>
            <w:b/>
            <w:color w:val="0563C1"/>
          </w:rPr>
          <w:t xml:space="preserve"> </w:t>
        </w:r>
      </w:hyperlink>
      <w:r>
        <w:rPr>
          <w:b/>
        </w:rPr>
        <w:t xml:space="preserve"> </w:t>
      </w:r>
    </w:p>
    <w:p w14:paraId="66BA95BA" w14:textId="77777777" w:rsidR="00227520" w:rsidRDefault="00C67ADF">
      <w:pPr>
        <w:spacing w:after="158"/>
      </w:pPr>
      <w:r>
        <w:rPr>
          <w:b/>
        </w:rPr>
        <w:t xml:space="preserve"> </w:t>
      </w:r>
    </w:p>
    <w:p w14:paraId="1F0EF696" w14:textId="77777777" w:rsidR="00227520" w:rsidRDefault="00C67ADF">
      <w:pPr>
        <w:spacing w:after="158"/>
      </w:pPr>
      <w:r>
        <w:rPr>
          <w:b/>
        </w:rPr>
        <w:t xml:space="preserve"> </w:t>
      </w:r>
    </w:p>
    <w:p w14:paraId="1C168F31" w14:textId="77777777" w:rsidR="00227520" w:rsidRDefault="00C67ADF">
      <w:r>
        <w:rPr>
          <w:b/>
        </w:rPr>
        <w:t xml:space="preserve"> </w:t>
      </w:r>
    </w:p>
    <w:p w14:paraId="28801535" w14:textId="77777777" w:rsidR="00227520" w:rsidRDefault="00C67ADF">
      <w:pPr>
        <w:spacing w:after="158"/>
      </w:pPr>
      <w:r>
        <w:rPr>
          <w:b/>
        </w:rPr>
        <w:t xml:space="preserve"> </w:t>
      </w:r>
    </w:p>
    <w:p w14:paraId="54BA53E4" w14:textId="77777777" w:rsidR="00227520" w:rsidRDefault="00C67ADF">
      <w:pPr>
        <w:spacing w:after="0"/>
      </w:pPr>
      <w:r>
        <w:t xml:space="preserve"> </w:t>
      </w:r>
    </w:p>
    <w:sectPr w:rsidR="00227520">
      <w:footerReference w:type="even" r:id="rId55"/>
      <w:footerReference w:type="default" r:id="rId56"/>
      <w:footerReference w:type="first" r:id="rId57"/>
      <w:pgSz w:w="11906" w:h="16838"/>
      <w:pgMar w:top="1020" w:right="1425" w:bottom="1477" w:left="1440" w:header="720" w:footer="7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8F08C8" w14:textId="77777777" w:rsidR="00364E06" w:rsidRDefault="00364E06">
      <w:pPr>
        <w:spacing w:after="0" w:line="240" w:lineRule="auto"/>
      </w:pPr>
      <w:r>
        <w:separator/>
      </w:r>
    </w:p>
  </w:endnote>
  <w:endnote w:type="continuationSeparator" w:id="0">
    <w:p w14:paraId="272BA7FD" w14:textId="77777777" w:rsidR="00364E06" w:rsidRDefault="00364E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05BE1" w14:textId="77777777" w:rsidR="00227520" w:rsidRDefault="00C67ADF">
    <w:pPr>
      <w:spacing w:after="0"/>
      <w:ind w:right="12"/>
      <w:jc w:val="right"/>
    </w:pPr>
    <w:r>
      <w:fldChar w:fldCharType="begin"/>
    </w:r>
    <w:r>
      <w:instrText xml:space="preserve"> PAGE   \* MERGEFORMAT </w:instrText>
    </w:r>
    <w:r>
      <w:fldChar w:fldCharType="separate"/>
    </w:r>
    <w:r>
      <w:t>1</w:t>
    </w:r>
    <w:r>
      <w:fldChar w:fldCharType="end"/>
    </w:r>
    <w:r>
      <w:t xml:space="preserve"> </w:t>
    </w:r>
  </w:p>
  <w:p w14:paraId="0CC1B363" w14:textId="77777777" w:rsidR="00227520" w:rsidRDefault="00C67ADF">
    <w:pPr>
      <w:spacing w:after="0"/>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EB7A3" w14:textId="77777777" w:rsidR="00227520" w:rsidRDefault="00C67ADF">
    <w:pPr>
      <w:spacing w:after="0"/>
      <w:ind w:right="12"/>
      <w:jc w:val="right"/>
    </w:pPr>
    <w:r>
      <w:fldChar w:fldCharType="begin"/>
    </w:r>
    <w:r>
      <w:instrText xml:space="preserve"> PAGE   \* MERGEFORMAT </w:instrText>
    </w:r>
    <w:r>
      <w:fldChar w:fldCharType="separate"/>
    </w:r>
    <w:r>
      <w:t>1</w:t>
    </w:r>
    <w:r>
      <w:fldChar w:fldCharType="end"/>
    </w:r>
    <w:r>
      <w:t xml:space="preserve"> </w:t>
    </w:r>
  </w:p>
  <w:p w14:paraId="6137A162" w14:textId="77777777" w:rsidR="00227520" w:rsidRDefault="00C67ADF">
    <w:pPr>
      <w:spacing w:after="0"/>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5E78A" w14:textId="77777777" w:rsidR="00227520" w:rsidRDefault="00C67ADF">
    <w:pPr>
      <w:spacing w:after="0"/>
      <w:ind w:right="12"/>
      <w:jc w:val="right"/>
    </w:pPr>
    <w:r>
      <w:fldChar w:fldCharType="begin"/>
    </w:r>
    <w:r>
      <w:instrText xml:space="preserve"> PAGE   \* MERGEFORMAT </w:instrText>
    </w:r>
    <w:r>
      <w:fldChar w:fldCharType="separate"/>
    </w:r>
    <w:r>
      <w:t>1</w:t>
    </w:r>
    <w:r>
      <w:fldChar w:fldCharType="end"/>
    </w:r>
    <w:r>
      <w:t xml:space="preserve"> </w:t>
    </w:r>
  </w:p>
  <w:p w14:paraId="47705D78" w14:textId="77777777" w:rsidR="00227520" w:rsidRDefault="00C67ADF">
    <w:pPr>
      <w:spacing w:after="0"/>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592066" w14:textId="77777777" w:rsidR="00364E06" w:rsidRDefault="00364E06">
      <w:pPr>
        <w:spacing w:after="0" w:line="240" w:lineRule="auto"/>
      </w:pPr>
      <w:r>
        <w:separator/>
      </w:r>
    </w:p>
  </w:footnote>
  <w:footnote w:type="continuationSeparator" w:id="0">
    <w:p w14:paraId="7CC3373E" w14:textId="77777777" w:rsidR="00364E06" w:rsidRDefault="00364E0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01A09"/>
    <w:multiLevelType w:val="hybridMultilevel"/>
    <w:tmpl w:val="153C2026"/>
    <w:lvl w:ilvl="0" w:tplc="DC066316">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B3A656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39014F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5C85F9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A8401D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7A48B66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FF86EB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D98690A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5D412E2">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9337076"/>
    <w:multiLevelType w:val="hybridMultilevel"/>
    <w:tmpl w:val="81CA932A"/>
    <w:lvl w:ilvl="0" w:tplc="3B7A2A32">
      <w:start w:val="1"/>
      <w:numFmt w:val="decimal"/>
      <w:lvlText w:val="%1."/>
      <w:lvlJc w:val="left"/>
      <w:pPr>
        <w:ind w:left="23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37A2A7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F18334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69027BA">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D445A6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B7CE192">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DB6B79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7501DF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B0A6EC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4FEB2894"/>
    <w:multiLevelType w:val="hybridMultilevel"/>
    <w:tmpl w:val="D042F556"/>
    <w:lvl w:ilvl="0" w:tplc="9B34B5BA">
      <w:start w:val="2"/>
      <w:numFmt w:val="lowerRoman"/>
      <w:lvlText w:val="%1."/>
      <w:lvlJc w:val="left"/>
      <w:pPr>
        <w:ind w:left="2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3FCE75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28A6FFA">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48CE5A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D5858A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77CBC6A">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1BC99A2">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7827E94">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BF42B9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5256001F"/>
    <w:multiLevelType w:val="hybridMultilevel"/>
    <w:tmpl w:val="A8506E8E"/>
    <w:lvl w:ilvl="0" w:tplc="DF2066EA">
      <w:start w:val="1"/>
      <w:numFmt w:val="upperLetter"/>
      <w:lvlText w:val="%1)"/>
      <w:lvlJc w:val="left"/>
      <w:pPr>
        <w:ind w:left="276"/>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B642AAA2">
      <w:start w:val="1"/>
      <w:numFmt w:val="lowerLetter"/>
      <w:lvlText w:val="%2"/>
      <w:lvlJc w:val="left"/>
      <w:pPr>
        <w:ind w:left="119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7B1A201E">
      <w:start w:val="1"/>
      <w:numFmt w:val="lowerRoman"/>
      <w:lvlText w:val="%3"/>
      <w:lvlJc w:val="left"/>
      <w:pPr>
        <w:ind w:left="191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7B5A9F0A">
      <w:start w:val="1"/>
      <w:numFmt w:val="decimal"/>
      <w:lvlText w:val="%4"/>
      <w:lvlJc w:val="left"/>
      <w:pPr>
        <w:ind w:left="263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DE501C54">
      <w:start w:val="1"/>
      <w:numFmt w:val="lowerLetter"/>
      <w:lvlText w:val="%5"/>
      <w:lvlJc w:val="left"/>
      <w:pPr>
        <w:ind w:left="335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1BF86D66">
      <w:start w:val="1"/>
      <w:numFmt w:val="lowerRoman"/>
      <w:lvlText w:val="%6"/>
      <w:lvlJc w:val="left"/>
      <w:pPr>
        <w:ind w:left="407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4504FBB4">
      <w:start w:val="1"/>
      <w:numFmt w:val="decimal"/>
      <w:lvlText w:val="%7"/>
      <w:lvlJc w:val="left"/>
      <w:pPr>
        <w:ind w:left="479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D83CF21E">
      <w:start w:val="1"/>
      <w:numFmt w:val="lowerLetter"/>
      <w:lvlText w:val="%8"/>
      <w:lvlJc w:val="left"/>
      <w:pPr>
        <w:ind w:left="551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2CCE44E4">
      <w:start w:val="1"/>
      <w:numFmt w:val="lowerRoman"/>
      <w:lvlText w:val="%9"/>
      <w:lvlJc w:val="left"/>
      <w:pPr>
        <w:ind w:left="623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60BF48C3"/>
    <w:multiLevelType w:val="hybridMultilevel"/>
    <w:tmpl w:val="322622E4"/>
    <w:lvl w:ilvl="0" w:tplc="DD0A876A">
      <w:start w:val="1"/>
      <w:numFmt w:val="lowerLetter"/>
      <w:lvlText w:val="%1)"/>
      <w:lvlJc w:val="left"/>
      <w:pPr>
        <w:ind w:left="2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AA8688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FAEF33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8BA2E2E">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17E241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C24C6D6">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51C357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88D82B2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30E7E0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68653ADB"/>
    <w:multiLevelType w:val="hybridMultilevel"/>
    <w:tmpl w:val="4F22210C"/>
    <w:lvl w:ilvl="0" w:tplc="233ACEBE">
      <w:start w:val="1"/>
      <w:numFmt w:val="bullet"/>
      <w:lvlText w:val="•"/>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7FA0180">
      <w:start w:val="1"/>
      <w:numFmt w:val="bullet"/>
      <w:lvlText w:val="o"/>
      <w:lvlJc w:val="left"/>
      <w:pPr>
        <w:ind w:left="119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BFE2F08">
      <w:start w:val="1"/>
      <w:numFmt w:val="bullet"/>
      <w:lvlText w:val="▪"/>
      <w:lvlJc w:val="left"/>
      <w:pPr>
        <w:ind w:left="191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3A4E5A8">
      <w:start w:val="1"/>
      <w:numFmt w:val="bullet"/>
      <w:lvlText w:val="•"/>
      <w:lvlJc w:val="left"/>
      <w:pPr>
        <w:ind w:left="26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37CF04E">
      <w:start w:val="1"/>
      <w:numFmt w:val="bullet"/>
      <w:lvlText w:val="o"/>
      <w:lvlJc w:val="left"/>
      <w:pPr>
        <w:ind w:left="335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DDA3AB0">
      <w:start w:val="1"/>
      <w:numFmt w:val="bullet"/>
      <w:lvlText w:val="▪"/>
      <w:lvlJc w:val="left"/>
      <w:pPr>
        <w:ind w:left="40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B740874">
      <w:start w:val="1"/>
      <w:numFmt w:val="bullet"/>
      <w:lvlText w:val="•"/>
      <w:lvlJc w:val="left"/>
      <w:pPr>
        <w:ind w:left="479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21A5D20">
      <w:start w:val="1"/>
      <w:numFmt w:val="bullet"/>
      <w:lvlText w:val="o"/>
      <w:lvlJc w:val="left"/>
      <w:pPr>
        <w:ind w:left="551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00E12AE">
      <w:start w:val="1"/>
      <w:numFmt w:val="bullet"/>
      <w:lvlText w:val="▪"/>
      <w:lvlJc w:val="left"/>
      <w:pPr>
        <w:ind w:left="62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7F971B2E"/>
    <w:multiLevelType w:val="hybridMultilevel"/>
    <w:tmpl w:val="B4966046"/>
    <w:lvl w:ilvl="0" w:tplc="F51E4214">
      <w:start w:val="1"/>
      <w:numFmt w:val="lowerRoman"/>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6B4DFF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5047D5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4548A0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92A83B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890919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894F1C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2183BE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2582B1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1161117672">
    <w:abstractNumId w:val="0"/>
  </w:num>
  <w:num w:numId="2" w16cid:durableId="742457601">
    <w:abstractNumId w:val="1"/>
  </w:num>
  <w:num w:numId="3" w16cid:durableId="1146437071">
    <w:abstractNumId w:val="4"/>
  </w:num>
  <w:num w:numId="4" w16cid:durableId="993024604">
    <w:abstractNumId w:val="2"/>
  </w:num>
  <w:num w:numId="5" w16cid:durableId="1833719789">
    <w:abstractNumId w:val="6"/>
  </w:num>
  <w:num w:numId="6" w16cid:durableId="464199389">
    <w:abstractNumId w:val="3"/>
  </w:num>
  <w:num w:numId="7" w16cid:durableId="3705163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520"/>
    <w:rsid w:val="00227520"/>
    <w:rsid w:val="00364E06"/>
    <w:rsid w:val="00C1226E"/>
    <w:rsid w:val="00C67A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B2E827"/>
  <w15:docId w15:val="{2759513D-89D8-4D3A-B2AB-CBC53105BA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Calibri"/>
      <w:color w:val="000000"/>
      <w:sz w:val="22"/>
    </w:rPr>
  </w:style>
  <w:style w:type="paragraph" w:styleId="Heading1">
    <w:name w:val="heading 1"/>
    <w:next w:val="Normal"/>
    <w:link w:val="Heading1Char"/>
    <w:uiPriority w:val="9"/>
    <w:qFormat/>
    <w:pPr>
      <w:keepNext/>
      <w:keepLines/>
      <w:spacing w:after="159" w:line="259" w:lineRule="auto"/>
      <w:outlineLvl w:val="0"/>
    </w:pPr>
    <w:rPr>
      <w:rFonts w:ascii="Calibri" w:eastAsia="Calibri" w:hAnsi="Calibri" w:cs="Calibri"/>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00000"/>
      <w:sz w:val="24"/>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C1226E"/>
    <w:rPr>
      <w:color w:val="467886" w:themeColor="hyperlink"/>
      <w:u w:val="single"/>
    </w:rPr>
  </w:style>
  <w:style w:type="character" w:styleId="UnresolvedMention">
    <w:name w:val="Unresolved Mention"/>
    <w:basedOn w:val="DefaultParagraphFont"/>
    <w:uiPriority w:val="99"/>
    <w:semiHidden/>
    <w:unhideWhenUsed/>
    <w:rsid w:val="00C122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newmansu.org/" TargetMode="External"/><Relationship Id="rId18" Type="http://schemas.openxmlformats.org/officeDocument/2006/relationships/hyperlink" Target="https://www.nmc.org.uk/standards/guidance/raising-concerns-guidance-for-nurses-and-midwives/" TargetMode="External"/><Relationship Id="rId26" Type="http://schemas.openxmlformats.org/officeDocument/2006/relationships/hyperlink" Target="https://www.nmc.org.uk/standards/guidance/raising-concerns-guidance-for-nurses-and-midwives/" TargetMode="External"/><Relationship Id="rId39" Type="http://schemas.openxmlformats.org/officeDocument/2006/relationships/hyperlink" Target="https://www.nmc.org.uk/standards/guidance/raising-concerns-guidance-for-nurses-and-midwives/case-studies-on-raising-concerns/" TargetMode="External"/><Relationship Id="rId21" Type="http://schemas.openxmlformats.org/officeDocument/2006/relationships/hyperlink" Target="https://www.nmc.org.uk/standards/guidance/raising-concerns-guidance-for-nurses-and-midwives/" TargetMode="External"/><Relationship Id="rId34" Type="http://schemas.openxmlformats.org/officeDocument/2006/relationships/hyperlink" Target="https://www.nmc.org.uk/standards/guidance/raising-concerns-guidance-for-nurses-and-midwives/case-studies-on-raising-concerns/" TargetMode="External"/><Relationship Id="rId42" Type="http://schemas.openxmlformats.org/officeDocument/2006/relationships/hyperlink" Target="https://www.nmc.org.uk/standards/guidance/raising-concerns-guidance-for-nurses-and-midwives/case-studies-on-raising-concerns/" TargetMode="External"/><Relationship Id="rId47" Type="http://schemas.openxmlformats.org/officeDocument/2006/relationships/hyperlink" Target="https://www.nmc.org.uk/standards/guidance/raising-concerns-guidance-for-nurses-and-midwives/case-studies-on-raising-concerns/" TargetMode="External"/><Relationship Id="rId50" Type="http://schemas.openxmlformats.org/officeDocument/2006/relationships/hyperlink" Target="https://www.nmc.org.uk/standards/guidance/raising-concerns-guidance-for-nurses-and-midwives/case-studies-on-raising-concerns/" TargetMode="External"/><Relationship Id="rId55" Type="http://schemas.openxmlformats.org/officeDocument/2006/relationships/footer" Target="footer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www.nmc.org.uk/standards/guidance/raising-concerns-guidance-for-nurses-and-midwives/" TargetMode="External"/><Relationship Id="rId29" Type="http://schemas.openxmlformats.org/officeDocument/2006/relationships/hyperlink" Target="https://www.nmc.org.uk/standards/guidance/raising-concerns-guidance-for-nurses-and-midwives/case-studies-on-raising-concerns/" TargetMode="External"/><Relationship Id="rId11" Type="http://schemas.openxmlformats.org/officeDocument/2006/relationships/hyperlink" Target="https://www.newmansu.org/" TargetMode="External"/><Relationship Id="rId24" Type="http://schemas.openxmlformats.org/officeDocument/2006/relationships/hyperlink" Target="https://www.nmc.org.uk/standards/guidance/raising-concerns-guidance-for-nurses-and-midwives/" TargetMode="External"/><Relationship Id="rId32" Type="http://schemas.openxmlformats.org/officeDocument/2006/relationships/hyperlink" Target="https://www.nmc.org.uk/standards/guidance/raising-concerns-guidance-for-nurses-and-midwives/case-studies-on-raising-concerns/" TargetMode="External"/><Relationship Id="rId37" Type="http://schemas.openxmlformats.org/officeDocument/2006/relationships/hyperlink" Target="https://www.nmc.org.uk/standards/guidance/raising-concerns-guidance-for-nurses-and-midwives/case-studies-on-raising-concerns/" TargetMode="External"/><Relationship Id="rId40" Type="http://schemas.openxmlformats.org/officeDocument/2006/relationships/hyperlink" Target="https://www.nmc.org.uk/standards/guidance/raising-concerns-guidance-for-nurses-and-midwives/case-studies-on-raising-concerns/" TargetMode="External"/><Relationship Id="rId45" Type="http://schemas.openxmlformats.org/officeDocument/2006/relationships/hyperlink" Target="https://www.nmc.org.uk/standards/guidance/raising-concerns-guidance-for-nurses-and-midwives/case-studies-on-raising-concerns/" TargetMode="External"/><Relationship Id="rId53" Type="http://schemas.openxmlformats.org/officeDocument/2006/relationships/hyperlink" Target="http://www.hcpc-uk.org.uk/" TargetMode="External"/><Relationship Id="rId58" Type="http://schemas.openxmlformats.org/officeDocument/2006/relationships/fontTable" Target="fontTable.xml"/><Relationship Id="rId5" Type="http://schemas.openxmlformats.org/officeDocument/2006/relationships/footnotes" Target="footnotes.xml"/><Relationship Id="rId19" Type="http://schemas.openxmlformats.org/officeDocument/2006/relationships/hyperlink" Target="https://www.nmc.org.uk/standards/guidance/raising-concerns-guidance-for-nurses-and-midwives/" TargetMode="External"/><Relationship Id="rId4" Type="http://schemas.openxmlformats.org/officeDocument/2006/relationships/webSettings" Target="webSettings.xml"/><Relationship Id="rId9" Type="http://schemas.openxmlformats.org/officeDocument/2006/relationships/hyperlink" Target="https://www.newmansu.org/" TargetMode="External"/><Relationship Id="rId14" Type="http://schemas.openxmlformats.org/officeDocument/2006/relationships/hyperlink" Target="https://www.england.nhs.uk/safeguarding/about/" TargetMode="External"/><Relationship Id="rId22" Type="http://schemas.openxmlformats.org/officeDocument/2006/relationships/hyperlink" Target="https://www.nmc.org.uk/standards/guidance/raising-concerns-guidance-for-nurses-and-midwives/" TargetMode="External"/><Relationship Id="rId27" Type="http://schemas.openxmlformats.org/officeDocument/2006/relationships/hyperlink" Target="https://www.nmc.org.uk/standards/guidance/raising-concerns-guidance-for-nurses-and-midwives/" TargetMode="External"/><Relationship Id="rId30" Type="http://schemas.openxmlformats.org/officeDocument/2006/relationships/hyperlink" Target="https://www.nmc.org.uk/standards/guidance/raising-concerns-guidance-for-nurses-and-midwives/case-studies-on-raising-concerns/" TargetMode="External"/><Relationship Id="rId35" Type="http://schemas.openxmlformats.org/officeDocument/2006/relationships/hyperlink" Target="https://www.nmc.org.uk/standards/guidance/raising-concerns-guidance-for-nurses-and-midwives/case-studies-on-raising-concerns/" TargetMode="External"/><Relationship Id="rId43" Type="http://schemas.openxmlformats.org/officeDocument/2006/relationships/hyperlink" Target="https://www.nmc.org.uk/standards/guidance/raising-concerns-guidance-for-nurses-and-midwives/case-studies-on-raising-concerns/" TargetMode="External"/><Relationship Id="rId48" Type="http://schemas.openxmlformats.org/officeDocument/2006/relationships/hyperlink" Target="https://www.nmc.org.uk/standards/guidance/raising-concerns-guidance-for-nurses-and-midwives/case-studies-on-raising-concerns/" TargetMode="External"/><Relationship Id="rId56" Type="http://schemas.openxmlformats.org/officeDocument/2006/relationships/footer" Target="footer2.xml"/><Relationship Id="rId8" Type="http://schemas.openxmlformats.org/officeDocument/2006/relationships/hyperlink" Target="https://www.newmansu.org/" TargetMode="External"/><Relationship Id="rId51" Type="http://schemas.openxmlformats.org/officeDocument/2006/relationships/hyperlink" Target="http://www.hcpc-uk.org.uk/" TargetMode="External"/><Relationship Id="rId3" Type="http://schemas.openxmlformats.org/officeDocument/2006/relationships/settings" Target="settings.xml"/><Relationship Id="rId12" Type="http://schemas.openxmlformats.org/officeDocument/2006/relationships/hyperlink" Target="https://www.newmansu.org/" TargetMode="External"/><Relationship Id="rId17" Type="http://schemas.openxmlformats.org/officeDocument/2006/relationships/hyperlink" Target="https://www.nmc.org.uk/standards/guidance/raising-concerns-guidance-for-nurses-and-midwives/" TargetMode="External"/><Relationship Id="rId25" Type="http://schemas.openxmlformats.org/officeDocument/2006/relationships/hyperlink" Target="https://www.nmc.org.uk/standards/guidance/raising-concerns-guidance-for-nurses-and-midwives/" TargetMode="External"/><Relationship Id="rId33" Type="http://schemas.openxmlformats.org/officeDocument/2006/relationships/hyperlink" Target="https://www.nmc.org.uk/standards/guidance/raising-concerns-guidance-for-nurses-and-midwives/case-studies-on-raising-concerns/" TargetMode="External"/><Relationship Id="rId38" Type="http://schemas.openxmlformats.org/officeDocument/2006/relationships/hyperlink" Target="https://www.nmc.org.uk/standards/guidance/raising-concerns-guidance-for-nurses-and-midwives/case-studies-on-raising-concerns/" TargetMode="External"/><Relationship Id="rId46" Type="http://schemas.openxmlformats.org/officeDocument/2006/relationships/hyperlink" Target="https://www.nmc.org.uk/standards/guidance/raising-concerns-guidance-for-nurses-and-midwives/case-studies-on-raising-concerns/" TargetMode="External"/><Relationship Id="rId59" Type="http://schemas.openxmlformats.org/officeDocument/2006/relationships/theme" Target="theme/theme1.xml"/><Relationship Id="rId20" Type="http://schemas.openxmlformats.org/officeDocument/2006/relationships/hyperlink" Target="https://www.nmc.org.uk/standards/guidance/raising-concerns-guidance-for-nurses-and-midwives/" TargetMode="External"/><Relationship Id="rId41" Type="http://schemas.openxmlformats.org/officeDocument/2006/relationships/hyperlink" Target="https://www.nmc.org.uk/standards/guidance/raising-concerns-guidance-for-nurses-and-midwives/case-studies-on-raising-concerns/" TargetMode="External"/><Relationship Id="rId54" Type="http://schemas.openxmlformats.org/officeDocument/2006/relationships/hyperlink" Target="http://www.hcpc-uk.org.uk/"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nmc.org.uk/standards/guidance/raising-concerns-guidance-for-nurses-and-midwives/" TargetMode="External"/><Relationship Id="rId23" Type="http://schemas.openxmlformats.org/officeDocument/2006/relationships/hyperlink" Target="https://www.nmc.org.uk/standards/guidance/raising-concerns-guidance-for-nurses-and-midwives/" TargetMode="External"/><Relationship Id="rId28" Type="http://schemas.openxmlformats.org/officeDocument/2006/relationships/hyperlink" Target="https://www.nmc.org.uk/standards/guidance/raising-concerns-guidance-for-nurses-and-midwives/" TargetMode="External"/><Relationship Id="rId36" Type="http://schemas.openxmlformats.org/officeDocument/2006/relationships/hyperlink" Target="https://www.nmc.org.uk/standards/guidance/raising-concerns-guidance-for-nurses-and-midwives/case-studies-on-raising-concerns/" TargetMode="External"/><Relationship Id="rId49" Type="http://schemas.openxmlformats.org/officeDocument/2006/relationships/hyperlink" Target="https://www.nmc.org.uk/standards/guidance/raising-concerns-guidance-for-nurses-and-midwives/case-studies-on-raising-concerns/" TargetMode="External"/><Relationship Id="rId57" Type="http://schemas.openxmlformats.org/officeDocument/2006/relationships/footer" Target="footer3.xml"/><Relationship Id="rId10" Type="http://schemas.openxmlformats.org/officeDocument/2006/relationships/hyperlink" Target="https://www.newmansu.org/" TargetMode="External"/><Relationship Id="rId31" Type="http://schemas.openxmlformats.org/officeDocument/2006/relationships/hyperlink" Target="https://www.nmc.org.uk/standards/guidance/raising-concerns-guidance-for-nurses-and-midwives/case-studies-on-raising-concerns/" TargetMode="External"/><Relationship Id="rId44" Type="http://schemas.openxmlformats.org/officeDocument/2006/relationships/hyperlink" Target="https://www.nmc.org.uk/standards/guidance/raising-concerns-guidance-for-nurses-and-midwives/case-studies-on-raising-concerns/" TargetMode="External"/><Relationship Id="rId52" Type="http://schemas.openxmlformats.org/officeDocument/2006/relationships/hyperlink" Target="http://www.hcpc-uk.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2989</Words>
  <Characters>17038</Characters>
  <Application>Microsoft Office Word</Application>
  <DocSecurity>0</DocSecurity>
  <Lines>141</Lines>
  <Paragraphs>39</Paragraphs>
  <ScaleCrop>false</ScaleCrop>
  <Company/>
  <LinksUpToDate>false</LinksUpToDate>
  <CharactersWithSpaces>19988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Kathryn Catty</dc:creator>
  <cp:keywords/>
  <cp:lastModifiedBy>Matthew Aldridge</cp:lastModifiedBy>
  <cp:revision>3</cp:revision>
  <dcterms:created xsi:type="dcterms:W3CDTF">2024-03-28T15:46:00Z</dcterms:created>
  <dcterms:modified xsi:type="dcterms:W3CDTF">2024-04-16T14:36:00Z</dcterms:modified>
</cp:coreProperties>
</file>